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23"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 2026.</w:t>
      </w:r>
    </w:p>
    <w:p>
      <w:pPr>
        <w:spacing w:after="0" w:line="30" w:lineRule="exact"/>
        <w:rPr>
          <w:sz w:val="24"/>
          <w:szCs w:val="24"/>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602297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22975" cy="165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60229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22975" cy="8255"/>
                    </a:xfrm>
                    <a:prstGeom prst="rect">
                      <a:avLst/>
                    </a:prstGeom>
                    <a:noFill/>
                  </pic:spPr>
                </pic:pic>
              </a:graphicData>
            </a:graphic>
          </wp:anchor>
        </w:drawing>
      </w:r>
    </w:p>
    <w:p>
      <w:pPr>
        <w:spacing w:after="0" w:line="32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2480945</wp:posOffset>
            </wp:positionH>
            <wp:positionV relativeFrom="paragraph">
              <wp:posOffset>57785</wp:posOffset>
            </wp:positionV>
            <wp:extent cx="10706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22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8"/>
          <w:szCs w:val="28"/>
          <w:b w:val="1"/>
          <w:bCs w:val="1"/>
          <w:color w:val="auto"/>
        </w:rPr>
        <w:t>FORM S-3</w:t>
      </w:r>
    </w:p>
    <w:p>
      <w:pPr>
        <w:spacing w:after="0" w:line="4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8"/>
          <w:szCs w:val="28"/>
          <w:b w:val="1"/>
          <w:bCs w:val="1"/>
          <w:color w:val="auto"/>
        </w:rPr>
        <w:t>REGISTRATION STATEMENT</w:t>
      </w:r>
    </w:p>
    <w:p>
      <w:pPr>
        <w:spacing w:after="0" w:line="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8"/>
          <w:szCs w:val="28"/>
          <w:b w:val="1"/>
          <w:bCs w:val="1"/>
          <w:i w:val="1"/>
          <w:iCs w:val="1"/>
          <w:color w:val="auto"/>
        </w:rPr>
        <w:t>UNDER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2480945</wp:posOffset>
            </wp:positionH>
            <wp:positionV relativeFrom="paragraph">
              <wp:posOffset>63500</wp:posOffset>
            </wp:positionV>
            <wp:extent cx="10706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21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FTAI AVIATION LTD.</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2480945</wp:posOffset>
            </wp:positionH>
            <wp:positionV relativeFrom="paragraph">
              <wp:posOffset>53975</wp:posOffset>
            </wp:positionV>
            <wp:extent cx="1070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ectPr>
          <w:pgSz w:w="11900" w:h="16838" w:orient="portrait"/>
          <w:cols w:equalWidth="0" w:num="1">
            <w:col w:w="9480"/>
          </w:cols>
          <w:pgMar w:left="1200" w:top="220" w:right="1219" w:bottom="1440" w:gutter="0" w:footer="0" w:header="0"/>
        </w:sectPr>
      </w:pPr>
    </w:p>
    <w:p>
      <w:pPr>
        <w:spacing w:after="0" w:line="227"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5"/>
          <w:szCs w:val="15"/>
          <w:b w:val="1"/>
          <w:bCs w:val="1"/>
          <w:color w:val="auto"/>
        </w:rPr>
        <w:t>Cayman Islands</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98-1420784</w:t>
      </w:r>
    </w:p>
    <w:p>
      <w:pPr>
        <w:spacing w:after="0" w:line="53" w:lineRule="exact"/>
        <w:rPr>
          <w:sz w:val="24"/>
          <w:szCs w:val="24"/>
          <w:color w:val="auto"/>
        </w:rPr>
      </w:pPr>
    </w:p>
    <w:p>
      <w:pPr>
        <w:sectPr>
          <w:pgSz w:w="11900" w:h="16838" w:orient="portrait"/>
          <w:cols w:equalWidth="0" w:num="2">
            <w:col w:w="6060" w:space="720"/>
            <w:col w:w="2700"/>
          </w:cols>
          <w:pgMar w:left="1200" w:top="220" w:right="1219" w:bottom="1440" w:gutter="0" w:footer="0" w:header="0"/>
          <w:type w:val="continuous"/>
        </w:sectPr>
      </w:pPr>
    </w:p>
    <w:p>
      <w:pPr>
        <w:ind w:left="220"/>
        <w:spacing w:after="0"/>
        <w:rPr>
          <w:sz w:val="20"/>
          <w:szCs w:val="20"/>
          <w:color w:val="auto"/>
        </w:rPr>
      </w:pPr>
      <w:r>
        <w:rPr>
          <w:rFonts w:ascii="Times New Roman" w:cs="Times New Roman" w:eastAsia="Times New Roman" w:hAnsi="Times New Roman"/>
          <w:sz w:val="15"/>
          <w:szCs w:val="15"/>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(I.R.S. Employer Identification No.)</w:t>
      </w:r>
    </w:p>
    <w:p>
      <w:pPr>
        <w:spacing w:after="0" w:line="104" w:lineRule="exact"/>
        <w:rPr>
          <w:sz w:val="24"/>
          <w:szCs w:val="24"/>
          <w:color w:val="auto"/>
        </w:rPr>
      </w:pPr>
    </w:p>
    <w:p>
      <w:pPr>
        <w:sectPr>
          <w:pgSz w:w="11900" w:h="16838" w:orient="portrait"/>
          <w:cols w:equalWidth="0" w:num="2">
            <w:col w:w="5240" w:space="720"/>
            <w:col w:w="3520"/>
          </w:cols>
          <w:pgMar w:left="1200" w:top="220" w:right="121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405 W 13th St, 3rd Floor</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New York, New York 10014</w:t>
      </w:r>
    </w:p>
    <w:p>
      <w:pPr>
        <w:spacing w:after="0" w:line="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(332) 239-7600</w:t>
      </w:r>
    </w:p>
    <w:p>
      <w:pPr>
        <w:spacing w:after="0" w:line="14" w:lineRule="exact"/>
        <w:rPr>
          <w:sz w:val="24"/>
          <w:szCs w:val="24"/>
          <w:color w:val="auto"/>
        </w:rPr>
      </w:pPr>
    </w:p>
    <w:p>
      <w:pPr>
        <w:jc w:val="center"/>
        <w:ind w:right="20"/>
        <w:spacing w:after="0" w:line="275" w:lineRule="auto"/>
        <w:rPr>
          <w:sz w:val="20"/>
          <w:szCs w:val="20"/>
          <w:color w:val="auto"/>
        </w:rPr>
      </w:pPr>
      <w:r>
        <w:rPr>
          <w:rFonts w:ascii="Times New Roman" w:cs="Times New Roman" w:eastAsia="Times New Roman" w:hAnsi="Times New Roman"/>
          <w:sz w:val="16"/>
          <w:szCs w:val="16"/>
          <w:b w:val="1"/>
          <w:bCs w:val="1"/>
          <w:color w:val="auto"/>
        </w:rPr>
        <w:t>(Address, Including Zip Code, and Telephone Number, Including Area Code, of Registrant’s Principal Executive Offices) BoHee Yoon, Esq.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2480945</wp:posOffset>
            </wp:positionH>
            <wp:positionV relativeFrom="paragraph">
              <wp:posOffset>44450</wp:posOffset>
            </wp:positionV>
            <wp:extent cx="1070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11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2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Michael J. Schwartz, Esq,</w:t>
      </w:r>
    </w:p>
    <w:p>
      <w:pPr>
        <w:spacing w:after="0" w:line="1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Peter D. Serating, Esq.</w:t>
      </w:r>
    </w:p>
    <w:p>
      <w:pPr>
        <w:spacing w:after="0" w:line="1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Blair T. Thetford, Esq.</w:t>
      </w:r>
    </w:p>
    <w:p>
      <w:pPr>
        <w:spacing w:after="0" w:line="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Skadden, Arps, Slate, Meagher &amp; Flom LLP</w:t>
      </w:r>
    </w:p>
    <w:p>
      <w:pPr>
        <w:spacing w:after="0" w:line="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One Manhattan West</w:t>
      </w:r>
    </w:p>
    <w:p>
      <w:pPr>
        <w:spacing w:after="0" w:line="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New York, New York 10001</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(212) 735-3000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2480945</wp:posOffset>
            </wp:positionH>
            <wp:positionV relativeFrom="paragraph">
              <wp:posOffset>70485</wp:posOffset>
            </wp:positionV>
            <wp:extent cx="1070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13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APPROXIMATE DATE OF COMMENCEMENT OF PROPOSED SALE TO THE PUBLIC: From time to time after the effective date of this Registration Statement as determined by the Registrant.</w:t>
      </w:r>
    </w:p>
    <w:p>
      <w:pPr>
        <w:spacing w:after="0" w:line="11"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8" w:lineRule="exact"/>
        <w:rPr>
          <w:sz w:val="24"/>
          <w:szCs w:val="24"/>
          <w:color w:val="auto"/>
        </w:rPr>
      </w:pPr>
    </w:p>
    <w:p>
      <w:pPr>
        <w:jc w:val="both"/>
        <w:spacing w:after="0" w:line="292" w:lineRule="auto"/>
        <w:rPr>
          <w:sz w:val="20"/>
          <w:szCs w:val="20"/>
          <w:color w:val="auto"/>
        </w:rPr>
      </w:pPr>
      <w:r>
        <w:rPr>
          <w:rFonts w:ascii="Times New Roman" w:cs="Times New Roman" w:eastAsia="Times New Roman" w:hAnsi="Times New Roman"/>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w:t>
      </w:r>
    </w:p>
    <w:p>
      <w:pPr>
        <w:jc w:val="both"/>
        <w:spacing w:after="0" w:line="227"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9"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8"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8"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8"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 N</w:t>
            </w:r>
          </w:p>
        </w:tc>
        <w:tc>
          <w:tcPr>
            <w:tcW w:w="4920" w:type="dxa"/>
            <w:vAlign w:val="bottom"/>
          </w:tcPr>
          <w:p>
            <w:pPr>
              <w:jc w:val="right"/>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tc>
      </w:tr>
      <w:tr>
        <w:trPr>
          <w:trHeight w:val="237"/>
        </w:trPr>
        <w:tc>
          <w:tcPr>
            <w:tcW w:w="4560" w:type="dxa"/>
            <w:vAlign w:val="bottom"/>
          </w:tcPr>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tc>
        <w:tc>
          <w:tcPr>
            <w:tcW w:w="4920" w:type="dxa"/>
            <w:vAlign w:val="bottom"/>
          </w:tcPr>
          <w:p>
            <w:pPr>
              <w:jc w:val="right"/>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tc>
      </w:tr>
      <w:tr>
        <w:trPr>
          <w:trHeight w:val="281"/>
        </w:trPr>
        <w:tc>
          <w:tcPr>
            <w:tcW w:w="4560" w:type="dxa"/>
            <w:vAlign w:val="bottom"/>
          </w:tcPr>
          <w:p>
            <w:pPr>
              <w:spacing w:after="0"/>
              <w:rPr>
                <w:sz w:val="24"/>
                <w:szCs w:val="24"/>
                <w:color w:val="auto"/>
              </w:rPr>
            </w:pPr>
          </w:p>
        </w:tc>
        <w:tc>
          <w:tcPr>
            <w:tcW w:w="4920" w:type="dxa"/>
            <w:vAlign w:val="bottom"/>
          </w:tcPr>
          <w:p>
            <w:pPr>
              <w:jc w:val="right"/>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tc>
      </w:tr>
    </w:tbl>
    <w:p>
      <w:pPr>
        <w:spacing w:after="0" w:line="60" w:lineRule="exact"/>
        <w:rPr>
          <w:sz w:val="24"/>
          <w:szCs w:val="24"/>
          <w:color w:val="auto"/>
        </w:rPr>
      </w:pPr>
    </w:p>
    <w:p>
      <w:pPr>
        <w:jc w:val="both"/>
        <w:ind w:firstLine="351"/>
        <w:spacing w:after="0" w:line="22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0229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229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602297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22975" cy="16510"/>
                    </a:xfrm>
                    <a:prstGeom prst="rect">
                      <a:avLst/>
                    </a:prstGeom>
                    <a:noFill/>
                  </pic:spPr>
                </pic:pic>
              </a:graphicData>
            </a:graphic>
          </wp:anchor>
        </w:drawing>
        <w:drawing>
          <wp:anchor simplePos="0" relativeHeight="251657728" behindDoc="1" locked="0" layoutInCell="0" allowOverlap="1">
            <wp:simplePos x="0" y="0"/>
            <wp:positionH relativeFrom="column">
              <wp:posOffset>-395605</wp:posOffset>
            </wp:positionH>
            <wp:positionV relativeFrom="paragraph">
              <wp:posOffset>311785</wp:posOffset>
            </wp:positionV>
            <wp:extent cx="682625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480"/>
          </w:cols>
          <w:pgMar w:left="1200" w:top="220" w:right="1219" w:bottom="144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181610</wp:posOffset>
            </wp:positionV>
            <wp:extent cx="2451100" cy="911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51100" cy="911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1"/>
          <w:szCs w:val="21"/>
          <w:b w:val="1"/>
          <w:bCs w:val="1"/>
          <w:color w:val="auto"/>
        </w:rPr>
        <w:t>FTAI AVIATION LTD.</w:t>
      </w:r>
    </w:p>
    <w:p>
      <w:pPr>
        <w:spacing w:after="0" w:line="1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b w:val="1"/>
          <w:bCs w:val="1"/>
          <w:color w:val="auto"/>
        </w:rPr>
        <w:t> </w:t>
      </w:r>
    </w:p>
    <w:p>
      <w:pPr>
        <w:jc w:val="center"/>
        <w:ind w:right="59"/>
        <w:spacing w:after="0" w:line="235" w:lineRule="auto"/>
        <w:rPr>
          <w:sz w:val="20"/>
          <w:szCs w:val="20"/>
          <w:color w:val="auto"/>
        </w:rPr>
      </w:pPr>
      <w:r>
        <w:rPr>
          <w:rFonts w:ascii="Times New Roman" w:cs="Times New Roman" w:eastAsia="Times New Roman" w:hAnsi="Times New Roman"/>
          <w:sz w:val="21"/>
          <w:szCs w:val="21"/>
          <w:b w:val="1"/>
          <w:bCs w:val="1"/>
          <w:color w:val="auto"/>
        </w:rPr>
        <w:t>ORDINARY SHARES</w:t>
      </w:r>
    </w:p>
    <w:p>
      <w:pPr>
        <w:jc w:val="center"/>
        <w:ind w:right="59"/>
        <w:spacing w:after="0" w:line="236" w:lineRule="auto"/>
        <w:rPr>
          <w:sz w:val="20"/>
          <w:szCs w:val="20"/>
          <w:color w:val="auto"/>
        </w:rPr>
      </w:pPr>
      <w:r>
        <w:rPr>
          <w:rFonts w:ascii="Times New Roman" w:cs="Times New Roman" w:eastAsia="Times New Roman" w:hAnsi="Times New Roman"/>
          <w:sz w:val="21"/>
          <w:szCs w:val="21"/>
          <w:b w:val="1"/>
          <w:bCs w:val="1"/>
          <w:color w:val="auto"/>
        </w:rPr>
        <w:t>PREFERRED SHARES</w:t>
      </w:r>
    </w:p>
    <w:p>
      <w:pPr>
        <w:jc w:val="center"/>
        <w:ind w:right="59"/>
        <w:spacing w:after="0" w:line="236" w:lineRule="auto"/>
        <w:rPr>
          <w:sz w:val="20"/>
          <w:szCs w:val="20"/>
          <w:color w:val="auto"/>
        </w:rPr>
      </w:pPr>
      <w:r>
        <w:rPr>
          <w:rFonts w:ascii="Times New Roman" w:cs="Times New Roman" w:eastAsia="Times New Roman" w:hAnsi="Times New Roman"/>
          <w:sz w:val="21"/>
          <w:szCs w:val="21"/>
          <w:b w:val="1"/>
          <w:bCs w:val="1"/>
          <w:color w:val="auto"/>
        </w:rPr>
        <w:t>DEPOSITARY SHARES</w:t>
      </w:r>
    </w:p>
    <w:p>
      <w:pPr>
        <w:jc w:val="center"/>
        <w:ind w:right="59"/>
        <w:spacing w:after="0" w:line="235" w:lineRule="auto"/>
        <w:rPr>
          <w:sz w:val="20"/>
          <w:szCs w:val="20"/>
          <w:color w:val="auto"/>
        </w:rPr>
      </w:pPr>
      <w:r>
        <w:rPr>
          <w:rFonts w:ascii="Times New Roman" w:cs="Times New Roman" w:eastAsia="Times New Roman" w:hAnsi="Times New Roman"/>
          <w:sz w:val="21"/>
          <w:szCs w:val="21"/>
          <w:b w:val="1"/>
          <w:bCs w:val="1"/>
          <w:color w:val="auto"/>
        </w:rPr>
        <w:t>DEBT SECURITIES</w:t>
      </w:r>
    </w:p>
    <w:p>
      <w:pPr>
        <w:jc w:val="center"/>
        <w:ind w:right="59"/>
        <w:spacing w:after="0" w:line="236" w:lineRule="auto"/>
        <w:rPr>
          <w:sz w:val="20"/>
          <w:szCs w:val="20"/>
          <w:color w:val="auto"/>
        </w:rPr>
      </w:pPr>
      <w:r>
        <w:rPr>
          <w:rFonts w:ascii="Times New Roman" w:cs="Times New Roman" w:eastAsia="Times New Roman" w:hAnsi="Times New Roman"/>
          <w:sz w:val="21"/>
          <w:szCs w:val="21"/>
          <w:b w:val="1"/>
          <w:bCs w:val="1"/>
          <w:color w:val="auto"/>
        </w:rPr>
        <w:t>WARRANTS</w:t>
      </w:r>
    </w:p>
    <w:p>
      <w:pPr>
        <w:jc w:val="center"/>
        <w:ind w:right="59"/>
        <w:spacing w:after="0" w:line="236" w:lineRule="auto"/>
        <w:rPr>
          <w:sz w:val="20"/>
          <w:szCs w:val="20"/>
          <w:color w:val="auto"/>
        </w:rPr>
      </w:pPr>
      <w:r>
        <w:rPr>
          <w:rFonts w:ascii="Times New Roman" w:cs="Times New Roman" w:eastAsia="Times New Roman" w:hAnsi="Times New Roman"/>
          <w:sz w:val="21"/>
          <w:szCs w:val="21"/>
          <w:b w:val="1"/>
          <w:bCs w:val="1"/>
          <w:color w:val="auto"/>
        </w:rPr>
        <w:t>SUBSCRIPTION RIGHTS</w:t>
      </w:r>
    </w:p>
    <w:p>
      <w:pPr>
        <w:jc w:val="center"/>
        <w:ind w:right="59"/>
        <w:spacing w:after="0" w:line="235" w:lineRule="auto"/>
        <w:rPr>
          <w:sz w:val="20"/>
          <w:szCs w:val="20"/>
          <w:color w:val="auto"/>
        </w:rPr>
      </w:pPr>
      <w:r>
        <w:rPr>
          <w:rFonts w:ascii="Times New Roman" w:cs="Times New Roman" w:eastAsia="Times New Roman" w:hAnsi="Times New Roman"/>
          <w:sz w:val="21"/>
          <w:szCs w:val="21"/>
          <w:b w:val="1"/>
          <w:bCs w:val="1"/>
          <w:color w:val="auto"/>
        </w:rPr>
        <w:t>PURCHASE CONTRACTS</w:t>
      </w:r>
    </w:p>
    <w:p>
      <w:pPr>
        <w:jc w:val="center"/>
        <w:ind w:right="59"/>
        <w:spacing w:after="0" w:line="236" w:lineRule="auto"/>
        <w:rPr>
          <w:sz w:val="20"/>
          <w:szCs w:val="20"/>
          <w:color w:val="auto"/>
        </w:rPr>
      </w:pPr>
      <w:r>
        <w:rPr>
          <w:rFonts w:ascii="Times New Roman" w:cs="Times New Roman" w:eastAsia="Times New Roman" w:hAnsi="Times New Roman"/>
          <w:sz w:val="21"/>
          <w:szCs w:val="21"/>
          <w:b w:val="1"/>
          <w:bCs w:val="1"/>
          <w:color w:val="auto"/>
        </w:rPr>
        <w:t>AND</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PURCHASE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141605</wp:posOffset>
            </wp:positionV>
            <wp:extent cx="10706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303" w:lineRule="exact"/>
        <w:rPr>
          <w:sz w:val="20"/>
          <w:szCs w:val="20"/>
          <w:color w:val="auto"/>
        </w:rPr>
      </w:pPr>
    </w:p>
    <w:p>
      <w:pPr>
        <w:jc w:val="both"/>
        <w:ind w:left="500" w:right="519" w:firstLine="351"/>
        <w:spacing w:after="0" w:line="283" w:lineRule="auto"/>
        <w:rPr>
          <w:sz w:val="20"/>
          <w:szCs w:val="20"/>
          <w:color w:val="auto"/>
        </w:rPr>
      </w:pPr>
      <w:r>
        <w:rPr>
          <w:rFonts w:ascii="Times New Roman" w:cs="Times New Roman" w:eastAsia="Times New Roman" w:hAnsi="Times New Roman"/>
          <w:sz w:val="16"/>
          <w:szCs w:val="16"/>
          <w:color w:val="auto"/>
        </w:rPr>
        <w:t>We may offer, issue and sell from time to time, together or separately, our ordinary shares; our preferred shares, which we may issue in one or more series; depositary shares representing our preferred shares; our debt securities, which may be senior, subordinated or junior subordinated debt securities; warrants to purchase debt or equity securities; subscription rights to purchase our ordinary shares, our preferred shares or our debt securities; purchase contracts to purchase our ordinary shares, our preferred shares or our debt securities; or purchase units, each representing ownership of a purchase contract and debt securities, preferred securities or debt obligations of third-parties, including U.S. treasury securities, or any combination of the foregoing, securing the holder’s obligation to purchase our ordinary shares or other securities under the purchase contracts.</w:t>
      </w:r>
    </w:p>
    <w:p>
      <w:pPr>
        <w:spacing w:after="0" w:line="56" w:lineRule="exact"/>
        <w:rPr>
          <w:sz w:val="20"/>
          <w:szCs w:val="20"/>
          <w:color w:val="auto"/>
        </w:rPr>
      </w:pPr>
    </w:p>
    <w:p>
      <w:pPr>
        <w:jc w:val="both"/>
        <w:ind w:left="500" w:right="519" w:firstLine="351"/>
        <w:spacing w:after="0" w:line="256" w:lineRule="auto"/>
        <w:rPr>
          <w:sz w:val="20"/>
          <w:szCs w:val="20"/>
          <w:color w:val="auto"/>
        </w:rPr>
      </w:pPr>
      <w:r>
        <w:rPr>
          <w:rFonts w:ascii="Times New Roman" w:cs="Times New Roman" w:eastAsia="Times New Roman" w:hAnsi="Times New Roman"/>
          <w:sz w:val="18"/>
          <w:szCs w:val="18"/>
          <w:color w:val="auto"/>
        </w:rPr>
        <w:t>We will provide the specific terms of these securities in supplements to this prospectus. We may describe the terms of these securities in a term sheet that will precede the prospectus supplement. You should read this prospectus and the accompanying prospectus supplement carefully before you make your investment decision.</w:t>
      </w:r>
    </w:p>
    <w:p>
      <w:pPr>
        <w:spacing w:after="0" w:line="73" w:lineRule="exact"/>
        <w:rPr>
          <w:sz w:val="20"/>
          <w:szCs w:val="20"/>
          <w:color w:val="auto"/>
        </w:rPr>
      </w:pPr>
    </w:p>
    <w:p>
      <w:pPr>
        <w:jc w:val="both"/>
        <w:ind w:left="500" w:right="519" w:firstLine="351"/>
        <w:spacing w:after="0" w:line="271" w:lineRule="auto"/>
        <w:rPr>
          <w:sz w:val="20"/>
          <w:szCs w:val="20"/>
          <w:color w:val="auto"/>
        </w:rPr>
      </w:pPr>
      <w:r>
        <w:rPr>
          <w:rFonts w:ascii="Times New Roman" w:cs="Times New Roman" w:eastAsia="Times New Roman" w:hAnsi="Times New Roman"/>
          <w:sz w:val="18"/>
          <w:szCs w:val="18"/>
          <w:b w:val="1"/>
          <w:bCs w:val="1"/>
          <w:color w:val="auto"/>
        </w:rPr>
        <w:t>THIS PROSPECTUS MAY NOT BE USED TO SELL SECURITIES UNLESS ACCOMPANIED BY A PROSPECTUS SUPPLEMENT.</w:t>
      </w:r>
    </w:p>
    <w:p>
      <w:pPr>
        <w:spacing w:after="0" w:line="62" w:lineRule="exact"/>
        <w:rPr>
          <w:sz w:val="20"/>
          <w:szCs w:val="20"/>
          <w:color w:val="auto"/>
        </w:rPr>
      </w:pPr>
    </w:p>
    <w:p>
      <w:pPr>
        <w:jc w:val="both"/>
        <w:ind w:left="500" w:right="519" w:firstLine="351"/>
        <w:spacing w:after="0" w:line="249" w:lineRule="auto"/>
        <w:rPr>
          <w:sz w:val="20"/>
          <w:szCs w:val="20"/>
          <w:color w:val="auto"/>
        </w:rPr>
      </w:pPr>
      <w:r>
        <w:rPr>
          <w:rFonts w:ascii="Times New Roman" w:cs="Times New Roman" w:eastAsia="Times New Roman" w:hAnsi="Times New Roman"/>
          <w:sz w:val="18"/>
          <w:szCs w:val="18"/>
          <w:color w:val="auto"/>
        </w:rPr>
        <w:t>We may offer securities through underwriting syndicates managed or co-managed by one or more underwriters, through agents or directly to purchasers. These securities also may be resold by selling shareholders, whether owned on the date hereof or hereafter. The prospectus supplement for each offering of securities will describe in detail the plan of distribution for that offering and the identities of any selling shareholders. For general information about the distribution of securities offered, please see “Plan of Distribution” in this prospectus.</w:t>
      </w:r>
    </w:p>
    <w:p>
      <w:pPr>
        <w:spacing w:after="0" w:line="80" w:lineRule="exact"/>
        <w:rPr>
          <w:sz w:val="20"/>
          <w:szCs w:val="20"/>
          <w:color w:val="auto"/>
        </w:rPr>
      </w:pPr>
    </w:p>
    <w:p>
      <w:pPr>
        <w:jc w:val="both"/>
        <w:ind w:left="500" w:right="519" w:firstLine="351"/>
        <w:spacing w:after="0" w:line="249" w:lineRule="auto"/>
        <w:rPr>
          <w:sz w:val="20"/>
          <w:szCs w:val="20"/>
          <w:color w:val="auto"/>
        </w:rPr>
      </w:pPr>
      <w:r>
        <w:rPr>
          <w:rFonts w:ascii="Times New Roman" w:cs="Times New Roman" w:eastAsia="Times New Roman" w:hAnsi="Times New Roman"/>
          <w:sz w:val="18"/>
          <w:szCs w:val="18"/>
          <w:color w:val="auto"/>
        </w:rPr>
        <w:t>The Nasdaq Global Select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lists our ordinary shares under the trading symbol “FTAI,” our 8.25% Fixed-Rate Reset Series C Cumulative Perpetual Redeemable Preferred Shares (the “</w:t>
      </w:r>
      <w:r>
        <w:rPr>
          <w:rFonts w:ascii="Times New Roman" w:cs="Times New Roman" w:eastAsia="Times New Roman" w:hAnsi="Times New Roman"/>
          <w:sz w:val="18"/>
          <w:szCs w:val="18"/>
          <w:b w:val="1"/>
          <w:bCs w:val="1"/>
          <w:color w:val="auto"/>
        </w:rPr>
        <w:t>Series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under the trading symbol “FTAIN” and our 9.50% Fixed-Rate Reset Series D Cumulative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Perpetual Redeemable Preferred Shares (the “</w:t>
      </w:r>
      <w:r>
        <w:rPr>
          <w:rFonts w:ascii="Times New Roman" w:cs="Times New Roman" w:eastAsia="Times New Roman" w:hAnsi="Times New Roman"/>
          <w:sz w:val="18"/>
          <w:szCs w:val="18"/>
          <w:b w:val="1"/>
          <w:bCs w:val="1"/>
          <w:color w:val="auto"/>
        </w:rPr>
        <w:t>Series D Preferred Shares</w:t>
      </w:r>
      <w:r>
        <w:rPr>
          <w:rFonts w:ascii="Times New Roman" w:cs="Times New Roman" w:eastAsia="Times New Roman" w:hAnsi="Times New Roman"/>
          <w:sz w:val="18"/>
          <w:szCs w:val="18"/>
          <w:color w:val="auto"/>
        </w:rPr>
        <w:t>”) under the trading symbol “FTAIM.” Each prospectus supplement will indicate if the securities offered thereby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165100</wp:posOffset>
            </wp:positionV>
            <wp:extent cx="10706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338" w:lineRule="exact"/>
        <w:rPr>
          <w:sz w:val="20"/>
          <w:szCs w:val="20"/>
          <w:color w:val="auto"/>
        </w:rPr>
      </w:pPr>
    </w:p>
    <w:p>
      <w:pPr>
        <w:jc w:val="both"/>
        <w:ind w:left="500" w:right="519" w:firstLine="351"/>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BEFORE BUYING OUR SECURITIES, YOU SHOULD REFER TO THE RISK FACTORS INCLUDED IN OUR PERIODIC REPORTS, IN PROSPECTUS SUPPLEMENTS RELATING TO SPECIFIC OFFERINGS OF OUR SECURITIES AND IN OTHER INFORMATION THAT WE FILE WITH THE SECURITIES AND EXCHANGE COMMISSION. SEE “RISK FACTORS” ON PAGE </w:t>
      </w:r>
      <w:r>
        <w:rPr>
          <w:rFonts w:ascii="Times New Roman" w:cs="Times New Roman" w:eastAsia="Times New Roman" w:hAnsi="Times New Roman"/>
          <w:sz w:val="18"/>
          <w:szCs w:val="18"/>
          <w:b w:val="1"/>
          <w:bCs w:val="1"/>
          <w:u w:val="single" w:color="auto"/>
          <w:color w:val="0000EE"/>
        </w:rPr>
        <w:t>7</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jc w:val="both"/>
        <w:ind w:left="500" w:right="519" w:firstLine="351"/>
        <w:spacing w:after="0" w:line="295"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May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123825</wp:posOffset>
            </wp:positionV>
            <wp:extent cx="682625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4"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40" w:type="dxa"/>
            <w:vAlign w:val="bottom"/>
            <w:gridSpan w:val="20"/>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0000EE"/>
              </w:rPr>
              <w:t>ABOUT THIS PROSPECTUS</w:t>
            </w:r>
          </w:p>
        </w:tc>
        <w:tc>
          <w:tcPr>
            <w:tcW w:w="1100" w:type="dxa"/>
            <w:vAlign w:val="bottom"/>
            <w:tcBorders>
              <w:right w:val="single" w:sz="8" w:color="CCEEFF"/>
            </w:tcBorders>
            <w:gridSpan w:val="4"/>
            <w:shd w:val="clear" w:color="auto" w:fill="CCEEFF"/>
          </w:tcPr>
          <w:p>
            <w:pPr>
              <w:jc w:val="right"/>
              <w:ind w:right="20"/>
              <w:spacing w:after="0" w:line="191"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7040" w:type="dxa"/>
            <w:vAlign w:val="bottom"/>
            <w:gridSpan w:val="20"/>
          </w:tcPr>
          <w:p>
            <w:pPr>
              <w:spacing w:after="0" w:line="184"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00" w:type="dxa"/>
            <w:vAlign w:val="bottom"/>
            <w:gridSpan w:val="4"/>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EE"/>
              </w:rPr>
              <w:t>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7040" w:type="dxa"/>
            <w:vAlign w:val="bottom"/>
            <w:gridSpan w:val="20"/>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100" w:type="dxa"/>
            <w:vAlign w:val="bottom"/>
            <w:tcBorders>
              <w:right w:val="single" w:sz="8" w:color="CCEEFF"/>
            </w:tcBorders>
            <w:gridSpan w:val="4"/>
            <w:shd w:val="clear" w:color="auto" w:fill="CCEEFF"/>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EE"/>
              </w:rPr>
              <w:t>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7040" w:type="dxa"/>
            <w:vAlign w:val="bottom"/>
            <w:gridSpan w:val="20"/>
          </w:tcPr>
          <w:p>
            <w:pPr>
              <w:spacing w:after="0" w:line="184"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100" w:type="dxa"/>
            <w:vAlign w:val="bottom"/>
            <w:gridSpan w:val="4"/>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EE"/>
              </w:rPr>
              <w:t>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7040" w:type="dxa"/>
            <w:vAlign w:val="bottom"/>
            <w:gridSpan w:val="20"/>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EE"/>
              </w:rPr>
              <w:t>FTAI AVIATION LTD.</w:t>
            </w:r>
          </w:p>
        </w:tc>
        <w:tc>
          <w:tcPr>
            <w:tcW w:w="1100" w:type="dxa"/>
            <w:vAlign w:val="bottom"/>
            <w:tcBorders>
              <w:right w:val="single" w:sz="8" w:color="CCEEFF"/>
            </w:tcBorders>
            <w:gridSpan w:val="4"/>
            <w:shd w:val="clear" w:color="auto" w:fill="CCEEFF"/>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EE"/>
              </w:rPr>
              <w:t>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162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0000EE"/>
              </w:rPr>
              <w:t>RISK FACTORS</w:t>
            </w:r>
          </w:p>
        </w:tc>
        <w:tc>
          <w:tcPr>
            <w:tcW w:w="5420" w:type="dxa"/>
            <w:vAlign w:val="bottom"/>
            <w:gridSpan w:val="15"/>
          </w:tcPr>
          <w:p>
            <w:pPr>
              <w:spacing w:after="0"/>
              <w:rPr>
                <w:sz w:val="16"/>
                <w:szCs w:val="16"/>
                <w:color w:val="auto"/>
              </w:rPr>
            </w:pPr>
          </w:p>
        </w:tc>
        <w:tc>
          <w:tcPr>
            <w:tcW w:w="1100" w:type="dxa"/>
            <w:vAlign w:val="bottom"/>
            <w:gridSpan w:val="4"/>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1520" w:type="dxa"/>
            <w:vAlign w:val="bottom"/>
            <w:gridSpan w:val="4"/>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EE"/>
                <w:w w:val="94"/>
              </w:rPr>
              <w:t>USE OF PROCEEDS</w:t>
            </w:r>
          </w:p>
        </w:tc>
        <w:tc>
          <w:tcPr>
            <w:tcW w:w="5520" w:type="dxa"/>
            <w:vAlign w:val="bottom"/>
            <w:gridSpan w:val="16"/>
            <w:shd w:val="clear" w:color="auto" w:fill="CCEEFF"/>
          </w:tcPr>
          <w:p>
            <w:pPr>
              <w:spacing w:after="0"/>
              <w:rPr>
                <w:sz w:val="16"/>
                <w:szCs w:val="16"/>
                <w:color w:val="auto"/>
              </w:rPr>
            </w:pPr>
          </w:p>
        </w:tc>
        <w:tc>
          <w:tcPr>
            <w:tcW w:w="1100" w:type="dxa"/>
            <w:vAlign w:val="bottom"/>
            <w:tcBorders>
              <w:right w:val="single" w:sz="8" w:color="CCEEFF"/>
            </w:tcBorders>
            <w:gridSpan w:val="4"/>
            <w:shd w:val="clear" w:color="auto" w:fill="CCEEFF"/>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EE"/>
              </w:rPr>
              <w:t>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7040" w:type="dxa"/>
            <w:vAlign w:val="bottom"/>
            <w:gridSpan w:val="20"/>
          </w:tcPr>
          <w:p>
            <w:pPr>
              <w:spacing w:after="0" w:line="184"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1100" w:type="dxa"/>
            <w:vAlign w:val="bottom"/>
            <w:gridSpan w:val="4"/>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EE"/>
              </w:rPr>
              <w:t>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7040" w:type="dxa"/>
            <w:vAlign w:val="bottom"/>
            <w:gridSpan w:val="20"/>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EE"/>
              </w:rPr>
              <w:t>DESCRIPTION OF SHARES</w:t>
            </w:r>
          </w:p>
        </w:tc>
        <w:tc>
          <w:tcPr>
            <w:tcW w:w="1100" w:type="dxa"/>
            <w:vAlign w:val="bottom"/>
            <w:tcBorders>
              <w:right w:val="single" w:sz="8" w:color="CCEEFF"/>
            </w:tcBorders>
            <w:gridSpan w:val="4"/>
            <w:shd w:val="clear" w:color="auto" w:fill="CCEEFF"/>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7040" w:type="dxa"/>
            <w:vAlign w:val="bottom"/>
            <w:gridSpan w:val="20"/>
          </w:tcPr>
          <w:p>
            <w:pPr>
              <w:spacing w:after="0" w:line="184"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1160" w:type="dxa"/>
            <w:vAlign w:val="bottom"/>
            <w:gridSpan w:val="5"/>
          </w:tcPr>
          <w:p>
            <w:pPr>
              <w:jc w:val="right"/>
              <w:ind w:right="60"/>
              <w:spacing w:after="0" w:line="184" w:lineRule="exact"/>
              <w:rPr>
                <w:sz w:val="20"/>
                <w:szCs w:val="20"/>
                <w:color w:val="auto"/>
              </w:rPr>
            </w:pPr>
            <w:r>
              <w:rPr>
                <w:rFonts w:ascii="Times New Roman" w:cs="Times New Roman" w:eastAsia="Times New Roman" w:hAnsi="Times New Roman"/>
                <w:sz w:val="18"/>
                <w:szCs w:val="18"/>
                <w:color w:val="0000EE"/>
              </w:rPr>
              <w:t>27</w:t>
            </w:r>
          </w:p>
        </w:tc>
        <w:tc>
          <w:tcPr>
            <w:tcW w:w="0" w:type="dxa"/>
            <w:vAlign w:val="bottom"/>
          </w:tcPr>
          <w:p>
            <w:pPr>
              <w:spacing w:after="0"/>
              <w:rPr>
                <w:sz w:val="1"/>
                <w:szCs w:val="1"/>
                <w:color w:val="auto"/>
              </w:rPr>
            </w:pPr>
          </w:p>
        </w:tc>
      </w:tr>
      <w:tr>
        <w:trPr>
          <w:trHeight w:val="33"/>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Borders>
              <w:bottom w:val="single" w:sz="8" w:color="0000EE"/>
            </w:tcBorders>
            <w:vMerge w:val="continue"/>
          </w:tcPr>
          <w:p>
            <w:pPr>
              <w:spacing w:after="0"/>
              <w:rPr>
                <w:sz w:val="18"/>
                <w:szCs w:val="18"/>
                <w:color w:val="auto"/>
              </w:rPr>
            </w:pPr>
          </w:p>
        </w:tc>
        <w:tc>
          <w:tcPr>
            <w:tcW w:w="2400" w:type="dxa"/>
            <w:vAlign w:val="bottom"/>
            <w:tcBorders>
              <w:bottom w:val="single" w:sz="8" w:color="0000EE"/>
            </w:tcBorders>
            <w:gridSpan w:val="9"/>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EE"/>
                <w:w w:val="95"/>
              </w:rPr>
              <w:t>DESCRIPTION OF WARRANTS</w:t>
            </w:r>
          </w:p>
        </w:tc>
        <w:tc>
          <w:tcPr>
            <w:tcW w:w="4640" w:type="dxa"/>
            <w:vAlign w:val="bottom"/>
            <w:tcBorders>
              <w:bottom w:val="single" w:sz="8" w:color="CCEEFF"/>
            </w:tcBorders>
            <w:gridSpan w:val="11"/>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right w:val="single" w:sz="8" w:color="CCEEFF"/>
            </w:tcBorders>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0000EE"/>
                <w:w w:val="88"/>
              </w:rPr>
              <w:t>29</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40" w:type="dxa"/>
            <w:vAlign w:val="bottom"/>
            <w:gridSpan w:val="20"/>
          </w:tcPr>
          <w:p>
            <w:pPr>
              <w:spacing w:after="0" w:line="184"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1160" w:type="dxa"/>
            <w:vAlign w:val="bottom"/>
            <w:gridSpan w:val="5"/>
          </w:tcPr>
          <w:p>
            <w:pPr>
              <w:jc w:val="right"/>
              <w:ind w:right="60"/>
              <w:spacing w:after="0" w:line="184" w:lineRule="exact"/>
              <w:rPr>
                <w:sz w:val="20"/>
                <w:szCs w:val="20"/>
                <w:color w:val="auto"/>
              </w:rPr>
            </w:pPr>
            <w:r>
              <w:rPr>
                <w:rFonts w:ascii="Times New Roman" w:cs="Times New Roman" w:eastAsia="Times New Roman" w:hAnsi="Times New Roman"/>
                <w:sz w:val="18"/>
                <w:szCs w:val="18"/>
                <w:color w:val="0000EE"/>
              </w:rPr>
              <w:t>30</w:t>
            </w:r>
          </w:p>
        </w:tc>
        <w:tc>
          <w:tcPr>
            <w:tcW w:w="0" w:type="dxa"/>
            <w:vAlign w:val="bottom"/>
          </w:tcPr>
          <w:p>
            <w:pPr>
              <w:spacing w:after="0"/>
              <w:rPr>
                <w:sz w:val="1"/>
                <w:szCs w:val="1"/>
                <w:color w:val="auto"/>
              </w:rPr>
            </w:pPr>
          </w:p>
        </w:tc>
      </w:tr>
      <w:tr>
        <w:trPr>
          <w:trHeight w:val="33"/>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Borders>
              <w:bottom w:val="single" w:sz="8" w:color="0000EE"/>
            </w:tcBorders>
            <w:vMerge w:val="continue"/>
          </w:tcPr>
          <w:p>
            <w:pPr>
              <w:spacing w:after="0"/>
              <w:rPr>
                <w:sz w:val="18"/>
                <w:szCs w:val="18"/>
                <w:color w:val="auto"/>
              </w:rPr>
            </w:pPr>
          </w:p>
        </w:tc>
        <w:tc>
          <w:tcPr>
            <w:tcW w:w="5380" w:type="dxa"/>
            <w:vAlign w:val="bottom"/>
            <w:tcBorders>
              <w:bottom w:val="single" w:sz="8" w:color="0000EE"/>
            </w:tcBorders>
            <w:gridSpan w:val="18"/>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EE"/>
                <w:w w:val="96"/>
              </w:rPr>
              <w:t>DESCRIPTION OF PURCHASE CONTRACTS AND PURCHASE UNITS</w:t>
            </w:r>
          </w:p>
        </w:tc>
        <w:tc>
          <w:tcPr>
            <w:tcW w:w="1660" w:type="dxa"/>
            <w:vAlign w:val="bottom"/>
            <w:tcBorders>
              <w:bottom w:val="single" w:sz="8" w:color="CCEEFF"/>
            </w:tcBorders>
            <w:gridSpan w:val="2"/>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right w:val="single" w:sz="8" w:color="CCEEFF"/>
            </w:tcBorders>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0000EE"/>
                <w:w w:val="88"/>
              </w:rPr>
              <w:t>31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40" w:type="dxa"/>
            <w:vAlign w:val="bottom"/>
            <w:gridSpan w:val="20"/>
          </w:tcPr>
          <w:p>
            <w:pPr>
              <w:spacing w:after="0" w:line="184" w:lineRule="exact"/>
              <w:rPr>
                <w:sz w:val="20"/>
                <w:szCs w:val="20"/>
                <w:color w:val="auto"/>
              </w:rPr>
            </w:pPr>
            <w:r>
              <w:rPr>
                <w:rFonts w:ascii="Times New Roman" w:cs="Times New Roman" w:eastAsia="Times New Roman" w:hAnsi="Times New Roman"/>
                <w:sz w:val="18"/>
                <w:szCs w:val="18"/>
                <w:color w:val="0000EE"/>
              </w:rPr>
              <w:t>SELLING SHAREHOLDERS</w:t>
            </w:r>
          </w:p>
        </w:tc>
        <w:tc>
          <w:tcPr>
            <w:tcW w:w="1160" w:type="dxa"/>
            <w:vAlign w:val="bottom"/>
            <w:gridSpan w:val="5"/>
          </w:tcPr>
          <w:p>
            <w:pPr>
              <w:jc w:val="right"/>
              <w:ind w:right="60"/>
              <w:spacing w:after="0" w:line="184" w:lineRule="exact"/>
              <w:rPr>
                <w:sz w:val="20"/>
                <w:szCs w:val="20"/>
                <w:color w:val="auto"/>
              </w:rPr>
            </w:pPr>
            <w:r>
              <w:rPr>
                <w:rFonts w:ascii="Times New Roman" w:cs="Times New Roman" w:eastAsia="Times New Roman" w:hAnsi="Times New Roman"/>
                <w:sz w:val="18"/>
                <w:szCs w:val="18"/>
                <w:color w:val="0000EE"/>
              </w:rPr>
              <w:t>32</w:t>
            </w:r>
          </w:p>
        </w:tc>
        <w:tc>
          <w:tcPr>
            <w:tcW w:w="0" w:type="dxa"/>
            <w:vAlign w:val="bottom"/>
          </w:tcPr>
          <w:p>
            <w:pPr>
              <w:spacing w:after="0"/>
              <w:rPr>
                <w:sz w:val="1"/>
                <w:szCs w:val="1"/>
                <w:color w:val="auto"/>
              </w:rPr>
            </w:pPr>
          </w:p>
        </w:tc>
      </w:tr>
      <w:tr>
        <w:trPr>
          <w:trHeight w:val="33"/>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7040" w:type="dxa"/>
            <w:vAlign w:val="bottom"/>
            <w:gridSpan w:val="20"/>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EE"/>
              </w:rPr>
              <w:t>CAYMAN ISLANDS TAXATION</w:t>
            </w:r>
          </w:p>
        </w:tc>
        <w:tc>
          <w:tcPr>
            <w:tcW w:w="1160" w:type="dxa"/>
            <w:vAlign w:val="bottom"/>
            <w:gridSpan w:val="5"/>
            <w:shd w:val="clear" w:color="auto" w:fill="CCEEFF"/>
          </w:tcPr>
          <w:p>
            <w:pPr>
              <w:jc w:val="right"/>
              <w:ind w:right="60"/>
              <w:spacing w:after="0" w:line="184" w:lineRule="exact"/>
              <w:rPr>
                <w:sz w:val="20"/>
                <w:szCs w:val="20"/>
                <w:color w:val="auto"/>
              </w:rPr>
            </w:pPr>
            <w:r>
              <w:rPr>
                <w:rFonts w:ascii="Times New Roman" w:cs="Times New Roman" w:eastAsia="Times New Roman" w:hAnsi="Times New Roman"/>
                <w:sz w:val="18"/>
                <w:szCs w:val="18"/>
                <w:color w:val="0000EE"/>
              </w:rPr>
              <w:t>33</w:t>
            </w:r>
          </w:p>
        </w:tc>
        <w:tc>
          <w:tcPr>
            <w:tcW w:w="0" w:type="dxa"/>
            <w:vAlign w:val="bottom"/>
          </w:tcPr>
          <w:p>
            <w:pPr>
              <w:spacing w:after="0"/>
              <w:rPr>
                <w:sz w:val="1"/>
                <w:szCs w:val="1"/>
                <w:color w:val="auto"/>
              </w:rPr>
            </w:pPr>
          </w:p>
        </w:tc>
      </w:tr>
      <w:tr>
        <w:trPr>
          <w:trHeight w:val="33"/>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7040" w:type="dxa"/>
            <w:vAlign w:val="bottom"/>
            <w:gridSpan w:val="20"/>
          </w:tcPr>
          <w:p>
            <w:pPr>
              <w:spacing w:after="0" w:line="184" w:lineRule="exact"/>
              <w:rPr>
                <w:sz w:val="20"/>
                <w:szCs w:val="20"/>
                <w:color w:val="auto"/>
              </w:rPr>
            </w:pPr>
            <w:r>
              <w:rPr>
                <w:rFonts w:ascii="Times New Roman" w:cs="Times New Roman" w:eastAsia="Times New Roman" w:hAnsi="Times New Roman"/>
                <w:sz w:val="18"/>
                <w:szCs w:val="18"/>
                <w:color w:val="0000EE"/>
              </w:rPr>
              <w:t>UNITED STATES FEDERAL INCOME TAX CONSIDERATIONS</w:t>
            </w:r>
          </w:p>
        </w:tc>
        <w:tc>
          <w:tcPr>
            <w:tcW w:w="1160" w:type="dxa"/>
            <w:vAlign w:val="bottom"/>
            <w:gridSpan w:val="5"/>
          </w:tcPr>
          <w:p>
            <w:pPr>
              <w:jc w:val="right"/>
              <w:ind w:right="60"/>
              <w:spacing w:after="0" w:line="184" w:lineRule="exact"/>
              <w:rPr>
                <w:sz w:val="20"/>
                <w:szCs w:val="20"/>
                <w:color w:val="auto"/>
              </w:rPr>
            </w:pPr>
            <w:r>
              <w:rPr>
                <w:rFonts w:ascii="Times New Roman" w:cs="Times New Roman" w:eastAsia="Times New Roman" w:hAnsi="Times New Roman"/>
                <w:sz w:val="18"/>
                <w:szCs w:val="18"/>
                <w:color w:val="0000EE"/>
              </w:rPr>
              <w:t>34</w:t>
            </w:r>
          </w:p>
        </w:tc>
        <w:tc>
          <w:tcPr>
            <w:tcW w:w="0" w:type="dxa"/>
            <w:vAlign w:val="bottom"/>
          </w:tcPr>
          <w:p>
            <w:pPr>
              <w:spacing w:after="0"/>
              <w:rPr>
                <w:sz w:val="1"/>
                <w:szCs w:val="1"/>
                <w:color w:val="auto"/>
              </w:rPr>
            </w:pPr>
          </w:p>
        </w:tc>
      </w:tr>
      <w:tr>
        <w:trPr>
          <w:trHeight w:val="33"/>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7040" w:type="dxa"/>
            <w:vAlign w:val="bottom"/>
            <w:gridSpan w:val="20"/>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EE"/>
              </w:rPr>
              <w:t>ERISA AND OTHER BENEFIT PLAN CONSIDERATIONS</w:t>
            </w:r>
          </w:p>
        </w:tc>
        <w:tc>
          <w:tcPr>
            <w:tcW w:w="1160" w:type="dxa"/>
            <w:vAlign w:val="bottom"/>
            <w:gridSpan w:val="5"/>
            <w:shd w:val="clear" w:color="auto" w:fill="CCEEFF"/>
          </w:tcPr>
          <w:p>
            <w:pPr>
              <w:jc w:val="right"/>
              <w:ind w:right="60"/>
              <w:spacing w:after="0" w:line="184" w:lineRule="exact"/>
              <w:rPr>
                <w:sz w:val="20"/>
                <w:szCs w:val="20"/>
                <w:color w:val="auto"/>
              </w:rPr>
            </w:pPr>
            <w:r>
              <w:rPr>
                <w:rFonts w:ascii="Times New Roman" w:cs="Times New Roman" w:eastAsia="Times New Roman" w:hAnsi="Times New Roman"/>
                <w:sz w:val="18"/>
                <w:szCs w:val="18"/>
                <w:color w:val="0000EE"/>
              </w:rPr>
              <w:t>39</w:t>
            </w:r>
          </w:p>
        </w:tc>
        <w:tc>
          <w:tcPr>
            <w:tcW w:w="0" w:type="dxa"/>
            <w:vAlign w:val="bottom"/>
          </w:tcPr>
          <w:p>
            <w:pPr>
              <w:spacing w:after="0"/>
              <w:rPr>
                <w:sz w:val="1"/>
                <w:szCs w:val="1"/>
                <w:color w:val="auto"/>
              </w:rPr>
            </w:pPr>
          </w:p>
        </w:tc>
      </w:tr>
      <w:tr>
        <w:trPr>
          <w:trHeight w:val="184"/>
        </w:trPr>
        <w:tc>
          <w:tcPr>
            <w:tcW w:w="20" w:type="dxa"/>
            <w:vAlign w:val="bottom"/>
            <w:tcBorders>
              <w:top w:val="single" w:sz="8" w:color="0000EE"/>
            </w:tcBorders>
          </w:tcPr>
          <w:p>
            <w:pPr>
              <w:spacing w:after="0"/>
              <w:rPr>
                <w:sz w:val="16"/>
                <w:szCs w:val="16"/>
                <w:color w:val="auto"/>
              </w:rPr>
            </w:pPr>
          </w:p>
        </w:tc>
        <w:tc>
          <w:tcPr>
            <w:tcW w:w="4340" w:type="dxa"/>
            <w:vAlign w:val="bottom"/>
            <w:tcBorders>
              <w:top w:val="single" w:sz="8" w:color="0000EE"/>
            </w:tcBorders>
            <w:gridSpan w:val="15"/>
          </w:tcPr>
          <w:p>
            <w:pPr>
              <w:spacing w:after="0" w:line="184" w:lineRule="exact"/>
              <w:rPr>
                <w:sz w:val="20"/>
                <w:szCs w:val="20"/>
                <w:color w:val="auto"/>
              </w:rPr>
            </w:pPr>
            <w:r>
              <w:rPr>
                <w:rFonts w:ascii="Times New Roman" w:cs="Times New Roman" w:eastAsia="Times New Roman" w:hAnsi="Times New Roman"/>
                <w:sz w:val="18"/>
                <w:szCs w:val="18"/>
                <w:color w:val="0000EE"/>
              </w:rPr>
              <w:t>PLAN OF DISTRIBUTION</w:t>
            </w:r>
          </w:p>
        </w:tc>
        <w:tc>
          <w:tcPr>
            <w:tcW w:w="2700" w:type="dxa"/>
            <w:vAlign w:val="bottom"/>
            <w:tcBorders>
              <w:top w:val="single" w:sz="8" w:color="CCEEFF"/>
            </w:tcBorders>
            <w:gridSpan w:val="5"/>
          </w:tcPr>
          <w:p>
            <w:pPr>
              <w:spacing w:after="0"/>
              <w:rPr>
                <w:sz w:val="16"/>
                <w:szCs w:val="16"/>
                <w:color w:val="auto"/>
              </w:rPr>
            </w:pPr>
          </w:p>
        </w:tc>
        <w:tc>
          <w:tcPr>
            <w:tcW w:w="92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0000EE"/>
                <w:w w:val="88"/>
              </w:rPr>
              <w:t>41</w:t>
            </w: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0000EE"/>
            </w:tcBorders>
            <w:vMerge w:val="restart"/>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Borders>
              <w:bottom w:val="single" w:sz="8" w:color="0000EE"/>
            </w:tcBorders>
            <w:vMerge w:val="continue"/>
          </w:tcPr>
          <w:p>
            <w:pPr>
              <w:spacing w:after="0"/>
              <w:rPr>
                <w:sz w:val="18"/>
                <w:szCs w:val="18"/>
                <w:color w:val="auto"/>
              </w:rPr>
            </w:pPr>
          </w:p>
        </w:tc>
        <w:tc>
          <w:tcPr>
            <w:tcW w:w="1400" w:type="dxa"/>
            <w:vAlign w:val="bottom"/>
            <w:tcBorders>
              <w:bottom w:val="single" w:sz="8" w:color="0000EE"/>
            </w:tcBorders>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EE"/>
                <w:w w:val="93"/>
              </w:rPr>
              <w:t>LEGAL MATTERS</w:t>
            </w:r>
          </w:p>
        </w:tc>
        <w:tc>
          <w:tcPr>
            <w:tcW w:w="5640" w:type="dxa"/>
            <w:vAlign w:val="bottom"/>
            <w:tcBorders>
              <w:bottom w:val="single" w:sz="8" w:color="CCEEFF"/>
            </w:tcBorders>
            <w:gridSpan w:val="17"/>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right w:val="single" w:sz="8" w:color="CCEEFF"/>
            </w:tcBorders>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0000EE"/>
                <w:w w:val="88"/>
              </w:rPr>
              <w:t>45</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40" w:type="dxa"/>
            <w:vAlign w:val="bottom"/>
            <w:gridSpan w:val="20"/>
          </w:tcPr>
          <w:p>
            <w:pPr>
              <w:spacing w:after="0" w:line="184" w:lineRule="exact"/>
              <w:rPr>
                <w:sz w:val="20"/>
                <w:szCs w:val="20"/>
                <w:color w:val="auto"/>
              </w:rPr>
            </w:pPr>
            <w:r>
              <w:rPr>
                <w:rFonts w:ascii="Times New Roman" w:cs="Times New Roman" w:eastAsia="Times New Roman" w:hAnsi="Times New Roman"/>
                <w:sz w:val="18"/>
                <w:szCs w:val="18"/>
                <w:color w:val="0000EE"/>
              </w:rPr>
              <w:t>EXPERTS</w:t>
            </w:r>
          </w:p>
        </w:tc>
        <w:tc>
          <w:tcPr>
            <w:tcW w:w="1160" w:type="dxa"/>
            <w:vAlign w:val="bottom"/>
            <w:gridSpan w:val="5"/>
          </w:tcPr>
          <w:p>
            <w:pPr>
              <w:jc w:val="right"/>
              <w:ind w:right="60"/>
              <w:spacing w:after="0" w:line="184" w:lineRule="exact"/>
              <w:rPr>
                <w:sz w:val="20"/>
                <w:szCs w:val="20"/>
                <w:color w:val="auto"/>
              </w:rPr>
            </w:pPr>
            <w:r>
              <w:rPr>
                <w:rFonts w:ascii="Times New Roman" w:cs="Times New Roman" w:eastAsia="Times New Roman" w:hAnsi="Times New Roman"/>
                <w:sz w:val="18"/>
                <w:szCs w:val="18"/>
                <w:color w:val="0000EE"/>
              </w:rPr>
              <w:t>45</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400" w:right="399" w:firstLine="351"/>
        <w:spacing w:after="0" w:line="271" w:lineRule="auto"/>
        <w:rPr>
          <w:sz w:val="20"/>
          <w:szCs w:val="20"/>
          <w:color w:val="auto"/>
        </w:rPr>
      </w:pPr>
      <w:r>
        <w:rPr>
          <w:rFonts w:ascii="Times New Roman" w:cs="Times New Roman" w:eastAsia="Times New Roman" w:hAnsi="Times New Roman"/>
          <w:sz w:val="18"/>
          <w:szCs w:val="18"/>
          <w:color w:val="auto"/>
        </w:rPr>
        <w:t>Unless otherwise stated or the context otherwise requires, references in this prospectus to “</w:t>
      </w:r>
      <w:r>
        <w:rPr>
          <w:rFonts w:ascii="Times New Roman" w:cs="Times New Roman" w:eastAsia="Times New Roman" w:hAnsi="Times New Roman"/>
          <w:sz w:val="18"/>
          <w:szCs w:val="18"/>
          <w:b w:val="1"/>
          <w:bCs w:val="1"/>
          <w:color w:val="auto"/>
        </w:rPr>
        <w:t>FTAI Aviation</w:t>
      </w:r>
      <w:r>
        <w:rPr>
          <w:rFonts w:ascii="Times New Roman" w:cs="Times New Roman" w:eastAsia="Times New Roman" w:hAnsi="Times New Roman"/>
          <w:sz w:val="18"/>
          <w:szCs w:val="18"/>
          <w:color w:val="auto"/>
        </w:rPr>
        <w:t>,” “we,” “our,” and “us” refer to FTAI Aviation Ltd. and its direct and indirect subsidiaries.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3" w:name="page4"/>
    <w:bookmarkEnd w:id="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11" w:lineRule="exact"/>
        <w:rPr>
          <w:sz w:val="20"/>
          <w:szCs w:val="20"/>
          <w:color w:val="auto"/>
        </w:rPr>
      </w:pPr>
    </w:p>
    <w:p>
      <w:pPr>
        <w:jc w:val="both"/>
        <w:ind w:left="400" w:right="399" w:firstLine="351"/>
        <w:spacing w:after="0" w:line="252"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using a “shelf” registration process. Under this shelf process, we or the selling shareholders may, from time to time, sell any combination of the securities described in this prospectus, in one or more offerings at an unspecified aggregate initial offering price.</w:t>
      </w:r>
    </w:p>
    <w:p>
      <w:pPr>
        <w:spacing w:after="0" w:line="79" w:lineRule="exact"/>
        <w:rPr>
          <w:sz w:val="20"/>
          <w:szCs w:val="20"/>
          <w:color w:val="auto"/>
        </w:rPr>
      </w:pPr>
    </w:p>
    <w:p>
      <w:pPr>
        <w:jc w:val="both"/>
        <w:ind w:left="400" w:right="399" w:firstLine="351"/>
        <w:spacing w:after="0" w:line="284" w:lineRule="auto"/>
        <w:rPr>
          <w:sz w:val="20"/>
          <w:szCs w:val="20"/>
          <w:color w:val="auto"/>
        </w:rPr>
      </w:pPr>
      <w:r>
        <w:rPr>
          <w:rFonts w:ascii="Times New Roman" w:cs="Times New Roman" w:eastAsia="Times New Roman" w:hAnsi="Times New Roman"/>
          <w:sz w:val="16"/>
          <w:szCs w:val="16"/>
          <w:color w:val="auto"/>
        </w:rPr>
        <w:t xml:space="preserve">This prospectus provides you with a general description of the securities we or the selling shareholders may offer. Each time we offer to sell securities under this prospectus, we will provide a prospectus supplement containing specific information about the terms of that offering. The prospectus supplement may also add, update or change information contained in this prospectus. If there is any inconsistency between the information in this prospectus and any prospectus supplement, you should rely on the information in the prospectus supplement. You should read both this prospectus and any prospectus supplement together with additional information described under the headings </w:t>
      </w:r>
      <w:r>
        <w:rPr>
          <w:rFonts w:ascii="Times New Roman" w:cs="Times New Roman" w:eastAsia="Times New Roman" w:hAnsi="Times New Roman"/>
          <w:sz w:val="16"/>
          <w:szCs w:val="16"/>
          <w:i w:val="1"/>
          <w:iCs w:val="1"/>
          <w:color w:val="auto"/>
        </w:rPr>
        <w:t xml:space="preserve">“Where You Can Find More Information”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“Incorporation of Certain Documents by Reference.”</w:t>
      </w:r>
    </w:p>
    <w:p>
      <w:pPr>
        <w:spacing w:after="0" w:line="57"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You should rely on the information contained or incorporated by reference in this prospectus. Neither we nor any selling shareholder have authorized anyone to provide you with different information. If anyone provides you with different or inconsistent information, you should not rely on it. Neither we nor any selling shareholder are making an offer to sell or soliciting an offer to buy securities in any jurisdiction where the offer or sale thereof is not permitted.</w:t>
      </w:r>
    </w:p>
    <w:p>
      <w:pPr>
        <w:spacing w:after="0" w:line="81" w:lineRule="exact"/>
        <w:rPr>
          <w:sz w:val="20"/>
          <w:szCs w:val="20"/>
          <w:color w:val="auto"/>
        </w:rPr>
      </w:pPr>
    </w:p>
    <w:p>
      <w:pPr>
        <w:jc w:val="both"/>
        <w:ind w:left="400" w:right="419" w:firstLine="351"/>
        <w:spacing w:after="0" w:line="269" w:lineRule="auto"/>
        <w:rPr>
          <w:sz w:val="20"/>
          <w:szCs w:val="20"/>
          <w:color w:val="auto"/>
        </w:rPr>
      </w:pPr>
      <w:r>
        <w:rPr>
          <w:rFonts w:ascii="Times New Roman" w:cs="Times New Roman" w:eastAsia="Times New Roman" w:hAnsi="Times New Roman"/>
          <w:sz w:val="18"/>
          <w:szCs w:val="18"/>
          <w:color w:val="auto"/>
        </w:rPr>
        <w:t>You should assume that the information in this prospectus is accurate as of the date of this prospectus. Our business, financial condition, results of operations and prospects may have changed since that date.</w:t>
      </w:r>
    </w:p>
    <w:p>
      <w:pPr>
        <w:spacing w:after="0" w:line="63" w:lineRule="exact"/>
        <w:rPr>
          <w:sz w:val="20"/>
          <w:szCs w:val="20"/>
          <w:color w:val="auto"/>
        </w:rPr>
      </w:pPr>
    </w:p>
    <w:p>
      <w:pPr>
        <w:jc w:val="both"/>
        <w:ind w:left="400" w:right="399" w:firstLine="351"/>
        <w:spacing w:after="0" w:line="252" w:lineRule="auto"/>
        <w:rPr>
          <w:sz w:val="20"/>
          <w:szCs w:val="20"/>
          <w:color w:val="auto"/>
        </w:rPr>
      </w:pPr>
      <w:r>
        <w:rPr>
          <w:rFonts w:ascii="Times New Roman" w:cs="Times New Roman" w:eastAsia="Times New Roman" w:hAnsi="Times New Roman"/>
          <w:sz w:val="18"/>
          <w:szCs w:val="18"/>
          <w:color w:val="auto"/>
        </w:rPr>
        <w:t>This prospectus contains summary descriptions of the ordinary shares, preferred shares, depositary shares, debt securities, warrants, subscription rights, purchase contracts and purchase units that we or selling shareholders may sell from time to time. These summary descriptions are not meant to be complete descriptions of each security. The particular terms of any security will be described in the related prospectus supplement.</w:t>
      </w:r>
    </w:p>
    <w:p>
      <w:pPr>
        <w:spacing w:after="0" w:line="79" w:lineRule="exact"/>
        <w:rPr>
          <w:sz w:val="20"/>
          <w:szCs w:val="20"/>
          <w:color w:val="auto"/>
        </w:rPr>
      </w:pPr>
    </w:p>
    <w:p>
      <w:pPr>
        <w:jc w:val="both"/>
        <w:ind w:left="400" w:right="399" w:firstLine="351"/>
        <w:spacing w:after="0" w:line="269" w:lineRule="auto"/>
        <w:rPr>
          <w:sz w:val="20"/>
          <w:szCs w:val="20"/>
          <w:color w:val="auto"/>
        </w:rPr>
      </w:pPr>
      <w:r>
        <w:rPr>
          <w:rFonts w:ascii="Times New Roman" w:cs="Times New Roman" w:eastAsia="Times New Roman" w:hAnsi="Times New Roman"/>
          <w:sz w:val="18"/>
          <w:szCs w:val="18"/>
          <w:color w:val="auto"/>
        </w:rPr>
        <w:t>FTAI Aviation Ltd. (Nasdaq: FTAI) is a Cayman Islands exempted company. Except as otherwise specified, “we,” “us,” “our,” “FTAI,” “FTAI Aviation” or “the Company” refer to us and our consolidated subsidiaries.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4" w:name="page5"/>
    <w:bookmarkEnd w:id="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11"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Commission. Our Commission filings are available on the Internet at the Commission’s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Our Commission filings are also available free of charge at our website (</w:t>
      </w:r>
      <w:r>
        <w:rPr>
          <w:rFonts w:ascii="Times New Roman" w:cs="Times New Roman" w:eastAsia="Times New Roman" w:hAnsi="Times New Roman"/>
          <w:sz w:val="18"/>
          <w:szCs w:val="18"/>
          <w:u w:val="single" w:color="auto"/>
          <w:color w:val="auto"/>
        </w:rPr>
        <w:t>www.ftaiaviation.com</w:t>
      </w:r>
      <w:r>
        <w:rPr>
          <w:rFonts w:ascii="Times New Roman" w:cs="Times New Roman" w:eastAsia="Times New Roman" w:hAnsi="Times New Roman"/>
          <w:sz w:val="18"/>
          <w:szCs w:val="18"/>
          <w:color w:val="auto"/>
        </w:rPr>
        <w:t>). We have included our website address in this prospectus solely as an inactive textual reference. The information on or otherwise accessible through our website does not constitute a part of, and is not incorporated by reference into, this prospectus or any accompanying prospectus supplement. Nasdaq lists our ordinary shares under the trading symbol “FTAI,” our Series C Preferred Shares under the trading symbol “FTAIN” and our Series D Preferred Shares under the trading symbol “FTAIM.”</w:t>
      </w:r>
    </w:p>
    <w:p>
      <w:pPr>
        <w:spacing w:after="0" w:line="87"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We have filed with the Commission a registration statement on Form S-3 relating to the securities covered by this prospectus. This prospectus is part of the registration statement and does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Commission for a more complete understanding of the document or matter. Each such statement is qualified in all respects by reference to the document to which it refers. You may inspect without charge a copy of the registration statement through the Commission’s website.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5" w:name="page6"/>
    <w:bookmarkEnd w:id="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11"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The Commission allows us to “incorporate by reference” into this prospectus information that we file with the Commission. This permits us to disclose important information to you by referring to these filed documents. Any information referenced this way is considered to be a part of this prospectus and any such information filed by us with the Commission subsequent to the date of this prospectus will automatically be deemed to update and supersede this prospectus. We incorporate by reference into this prospectus and any accompanying prospectus supplement the following documents that we have already filed with the Commission except that any information which is furnished under Item 2.02 or Item 7.01 of any Current Report on Form 8-K (including financial statements or exhibits relating thereto furnished pursuant to Item 9.01) and not filed shall not be deemed incorporated by referenced herein:</w:t>
      </w:r>
    </w:p>
    <w:p>
      <w:pPr>
        <w:spacing w:after="0" w:line="85" w:lineRule="exact"/>
        <w:rPr>
          <w:sz w:val="20"/>
          <w:szCs w:val="20"/>
          <w:color w:val="auto"/>
        </w:rPr>
      </w:pPr>
    </w:p>
    <w:p>
      <w:pPr>
        <w:ind w:left="1080" w:right="419" w:hanging="335"/>
        <w:spacing w:after="0" w:line="269" w:lineRule="auto"/>
        <w:tabs>
          <w:tab w:leader="none" w:pos="108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Annual Report on Form 10-K for the year ended December 31, 2025 filed with the Commission on </w:t>
      </w:r>
      <w:hyperlink r:id="rId25">
        <w:r>
          <w:rPr>
            <w:rFonts w:ascii="Times New Roman" w:cs="Times New Roman" w:eastAsia="Times New Roman" w:hAnsi="Times New Roman"/>
            <w:sz w:val="18"/>
            <w:szCs w:val="18"/>
            <w:u w:val="single" w:color="auto"/>
            <w:color w:val="0000EE"/>
          </w:rPr>
          <w:t>February 27, 2026</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00"/>
        </w:rPr>
        <w:t>Form 10-K</w:t>
      </w:r>
      <w:r>
        <w:rPr>
          <w:rFonts w:ascii="Times New Roman" w:cs="Times New Roman" w:eastAsia="Times New Roman" w:hAnsi="Times New Roman"/>
          <w:sz w:val="18"/>
          <w:szCs w:val="18"/>
          <w:color w:val="000000"/>
        </w:rPr>
        <w:t>”);</w:t>
      </w:r>
    </w:p>
    <w:p>
      <w:pPr>
        <w:spacing w:after="0" w:line="62" w:lineRule="exact"/>
        <w:rPr>
          <w:rFonts w:ascii="Times New Roman" w:cs="Times New Roman" w:eastAsia="Times New Roman" w:hAnsi="Times New Roman"/>
          <w:sz w:val="18"/>
          <w:szCs w:val="18"/>
          <w:color w:val="0000EE"/>
        </w:rPr>
      </w:pPr>
    </w:p>
    <w:p>
      <w:pPr>
        <w:ind w:left="1080" w:right="419" w:hanging="335"/>
        <w:spacing w:after="0" w:line="269" w:lineRule="auto"/>
        <w:tabs>
          <w:tab w:leader="none" w:pos="108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Quarterly Report on Form 10-Q for the three months ended March 31, 2026 filed with the Commission on </w:t>
      </w:r>
      <w:hyperlink r:id="rId26">
        <w:r>
          <w:rPr>
            <w:rFonts w:ascii="Times New Roman" w:cs="Times New Roman" w:eastAsia="Times New Roman" w:hAnsi="Times New Roman"/>
            <w:sz w:val="18"/>
            <w:szCs w:val="18"/>
            <w:u w:val="single" w:color="auto"/>
            <w:color w:val="0000EE"/>
          </w:rPr>
          <w:t>May 1, 2026</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00"/>
        </w:rPr>
        <w:t>Form 10-Q</w:t>
      </w:r>
      <w:r>
        <w:rPr>
          <w:rFonts w:ascii="Times New Roman" w:cs="Times New Roman" w:eastAsia="Times New Roman" w:hAnsi="Times New Roman"/>
          <w:sz w:val="18"/>
          <w:szCs w:val="18"/>
          <w:color w:val="000000"/>
        </w:rPr>
        <w:t>”);</w:t>
      </w:r>
    </w:p>
    <w:p>
      <w:pPr>
        <w:spacing w:after="0" w:line="62" w:lineRule="exact"/>
        <w:rPr>
          <w:rFonts w:ascii="Times New Roman" w:cs="Times New Roman" w:eastAsia="Times New Roman" w:hAnsi="Times New Roman"/>
          <w:sz w:val="18"/>
          <w:szCs w:val="18"/>
          <w:color w:val="0000EE"/>
        </w:rPr>
      </w:pPr>
    </w:p>
    <w:p>
      <w:pPr>
        <w:ind w:left="1080" w:right="419" w:hanging="335"/>
        <w:spacing w:after="0" w:line="269" w:lineRule="auto"/>
        <w:tabs>
          <w:tab w:leader="none" w:pos="1080" w:val="left"/>
        </w:tabs>
        <w:numPr>
          <w:ilvl w:val="0"/>
          <w:numId w:val="1"/>
        </w:numPr>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auto"/>
          </w:rPr>
          <w:t xml:space="preserve">Current Reports on Form 8-K filed on </w:t>
        </w:r>
        <w:r>
          <w:rPr>
            <w:rFonts w:ascii="Times New Roman" w:cs="Times New Roman" w:eastAsia="Times New Roman" w:hAnsi="Times New Roman"/>
            <w:sz w:val="18"/>
            <w:szCs w:val="18"/>
            <w:u w:val="single" w:color="auto"/>
            <w:color w:val="0000EE"/>
          </w:rPr>
          <w:t>January 28,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6, 2026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April 30,</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hyperlink>
    </w:p>
    <w:p>
      <w:pPr>
        <w:spacing w:after="0" w:line="62" w:lineRule="exact"/>
        <w:rPr>
          <w:rFonts w:ascii="Times New Roman" w:cs="Times New Roman" w:eastAsia="Times New Roman" w:hAnsi="Times New Roman"/>
          <w:sz w:val="18"/>
          <w:szCs w:val="18"/>
          <w:color w:val="0000EE"/>
        </w:rPr>
      </w:pPr>
    </w:p>
    <w:p>
      <w:pPr>
        <w:jc w:val="both"/>
        <w:ind w:left="1080" w:right="419" w:hanging="335"/>
        <w:spacing w:after="0" w:line="25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sections of the Definitive Proxy Statement on </w:t>
      </w:r>
      <w:r>
        <w:rPr>
          <w:rFonts w:ascii="Times New Roman" w:cs="Times New Roman" w:eastAsia="Times New Roman" w:hAnsi="Times New Roman"/>
          <w:sz w:val="18"/>
          <w:szCs w:val="18"/>
          <w:u w:val="single" w:color="auto"/>
          <w:color w:val="auto"/>
        </w:rPr>
        <w:t>Schedule 14A</w:t>
      </w:r>
      <w:r>
        <w:rPr>
          <w:rFonts w:ascii="Times New Roman" w:cs="Times New Roman" w:eastAsia="Times New Roman" w:hAnsi="Times New Roman"/>
          <w:sz w:val="18"/>
          <w:szCs w:val="18"/>
          <w:color w:val="auto"/>
        </w:rPr>
        <w:t xml:space="preserve"> for the 2025 Annual Meeting of Shareholders filed with the Commission on </w:t>
      </w:r>
      <w:hyperlink r:id="rId28">
        <w:r>
          <w:rPr>
            <w:rFonts w:ascii="Times New Roman" w:cs="Times New Roman" w:eastAsia="Times New Roman" w:hAnsi="Times New Roman"/>
            <w:sz w:val="18"/>
            <w:szCs w:val="18"/>
            <w:u w:val="single" w:color="auto"/>
            <w:color w:val="0000EE"/>
          </w:rPr>
          <w:t>April 15, 2026</w:t>
        </w:r>
      </w:hyperlink>
      <w:r>
        <w:rPr>
          <w:rFonts w:ascii="Times New Roman" w:cs="Times New Roman" w:eastAsia="Times New Roman" w:hAnsi="Times New Roman"/>
          <w:sz w:val="18"/>
          <w:szCs w:val="18"/>
          <w:color w:val="auto"/>
        </w:rPr>
        <w:t>, which are incorporated by reference on Form 10-K for the year ended December 31, 2025;</w:t>
      </w:r>
    </w:p>
    <w:p>
      <w:pPr>
        <w:spacing w:after="0" w:line="75"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set forth in </w:t>
      </w:r>
      <w:hyperlink r:id="rId29">
        <w:r>
          <w:rPr>
            <w:rFonts w:ascii="Times New Roman" w:cs="Times New Roman" w:eastAsia="Times New Roman" w:hAnsi="Times New Roman"/>
            <w:sz w:val="18"/>
            <w:szCs w:val="18"/>
            <w:u w:val="single" w:color="auto"/>
            <w:color w:val="0000EE"/>
          </w:rPr>
          <w:t>Exhibit 4.20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Form 10-K;</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Series C Preferred Shares set forth in </w:t>
      </w:r>
      <w:hyperlink r:id="rId29">
        <w:r>
          <w:rPr>
            <w:rFonts w:ascii="Times New Roman" w:cs="Times New Roman" w:eastAsia="Times New Roman" w:hAnsi="Times New Roman"/>
            <w:sz w:val="18"/>
            <w:szCs w:val="18"/>
            <w:u w:val="single" w:color="auto"/>
            <w:color w:val="0000EE"/>
          </w:rPr>
          <w:t>Exhibit 4.20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Form 10-K; and</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Series D Preferred Shares set forth in </w:t>
      </w:r>
      <w:hyperlink r:id="rId29">
        <w:r>
          <w:rPr>
            <w:rFonts w:ascii="Times New Roman" w:cs="Times New Roman" w:eastAsia="Times New Roman" w:hAnsi="Times New Roman"/>
            <w:sz w:val="18"/>
            <w:szCs w:val="18"/>
            <w:u w:val="single" w:color="auto"/>
            <w:color w:val="0000EE"/>
          </w:rPr>
          <w:t>Exhibit 4.20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Form 10-K.</w:t>
      </w:r>
    </w:p>
    <w:p>
      <w:pPr>
        <w:spacing w:after="0" w:line="109" w:lineRule="exact"/>
        <w:rPr>
          <w:rFonts w:ascii="Times New Roman" w:cs="Times New Roman" w:eastAsia="Times New Roman" w:hAnsi="Times New Roman"/>
          <w:sz w:val="18"/>
          <w:szCs w:val="18"/>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Whenever after the date of this prospectus we file reports or documents under Section 13(a), 13(c), 14 or 15(d)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those reports and documents will be deemed to be a part of this prospectus from the time they are filed (other than documents or information deemed to have been furnished and not filed in accordance with Commission rules). Any statement made in this prospectus or in a document incorporated or deemed to be incorporated by reference in this prospectus will be deemed to be modified or superseded for purposes of this prospectus to the extent that a statement contained in this prospectus or in any other subsequently filed document that is also incorporated or deemed to be incorporated by reference in this prospectus modifies or supersedes that statement. Any statement so modified or superseded will not be deemed, except as so modified or superseded, to constitute a part of this prospectus.</w:t>
      </w:r>
    </w:p>
    <w:p>
      <w:pPr>
        <w:spacing w:after="0" w:line="85" w:lineRule="exact"/>
        <w:rPr>
          <w:rFonts w:ascii="Times New Roman" w:cs="Times New Roman" w:eastAsia="Times New Roman" w:hAnsi="Times New Roman"/>
          <w:sz w:val="18"/>
          <w:szCs w:val="18"/>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 xml:space="preserve">We will provide without charge, upon written or oral request, a copy of any or all of the documents that are incorporated by reference into this prospectus, excluding any exhibits to those documents unless the exhibit is specifically incorporated by reference as an exhibit to the registration statement of which this prospectus forms a part. Requests should be directed to FTAI Aviation Ltd., 405 West 13th Street, 3rd Floor, New York, New York, 10014, Attention: Investor Relations (telephone number (332) 239-7600 and email address </w:t>
      </w:r>
      <w:r>
        <w:rPr>
          <w:rFonts w:ascii="Times New Roman" w:cs="Times New Roman" w:eastAsia="Times New Roman" w:hAnsi="Times New Roman"/>
          <w:sz w:val="18"/>
          <w:szCs w:val="18"/>
          <w:u w:val="single" w:color="auto"/>
          <w:color w:val="auto"/>
        </w:rPr>
        <w:t>IR@FTAIAviation.com</w:t>
      </w:r>
      <w:r>
        <w:rPr>
          <w:rFonts w:ascii="Times New Roman" w:cs="Times New Roman" w:eastAsia="Times New Roman" w:hAnsi="Times New Roman"/>
          <w:sz w:val="18"/>
          <w:szCs w:val="18"/>
          <w:color w:val="auto"/>
        </w:rPr>
        <w:t>). Our Commission filings are also available free of charge at our website (</w:t>
      </w:r>
      <w:r>
        <w:rPr>
          <w:rFonts w:ascii="Times New Roman" w:cs="Times New Roman" w:eastAsia="Times New Roman" w:hAnsi="Times New Roman"/>
          <w:sz w:val="18"/>
          <w:szCs w:val="18"/>
          <w:u w:val="single" w:color="auto"/>
          <w:color w:val="auto"/>
        </w:rPr>
        <w:t>www.ftaiaviation.com</w:t>
      </w:r>
      <w:r>
        <w:rPr>
          <w:rFonts w:ascii="Times New Roman" w:cs="Times New Roman" w:eastAsia="Times New Roman" w:hAnsi="Times New Roman"/>
          <w:sz w:val="18"/>
          <w:szCs w:val="18"/>
          <w:color w:val="auto"/>
        </w:rPr>
        <w:t>). We have included our website address in this prospectus solely as an inactive textual reference. The information on or otherwise accessible through our website does not constitute a part of, and is not incorporated by reference into, this prospectus or any accompanying prospectus supplement.</w:t>
      </w:r>
    </w:p>
    <w:p>
      <w:pPr>
        <w:spacing w:after="0" w:line="19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11" w:lineRule="exact"/>
        <w:rPr>
          <w:sz w:val="20"/>
          <w:szCs w:val="20"/>
          <w:color w:val="auto"/>
        </w:rPr>
      </w:pPr>
    </w:p>
    <w:p>
      <w:pPr>
        <w:jc w:val="both"/>
        <w:ind w:left="400" w:right="399" w:firstLine="351"/>
        <w:spacing w:after="0" w:line="278" w:lineRule="auto"/>
        <w:rPr>
          <w:sz w:val="20"/>
          <w:szCs w:val="20"/>
          <w:color w:val="auto"/>
        </w:rPr>
      </w:pPr>
      <w:r>
        <w:rPr>
          <w:rFonts w:ascii="Times New Roman" w:cs="Times New Roman" w:eastAsia="Times New Roman" w:hAnsi="Times New Roman"/>
          <w:sz w:val="16"/>
          <w:szCs w:val="16"/>
          <w:color w:val="auto"/>
        </w:rPr>
        <w:t>This prospectus contains certain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prospectus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Part I, Item 1A. “Risk Factors” in our Form 10-K, which is incorporated by reference herein. We believe that these factors include, but are not limited to:</w:t>
      </w:r>
    </w:p>
    <w:p>
      <w:pPr>
        <w:spacing w:after="0" w:line="279" w:lineRule="exact"/>
        <w:rPr>
          <w:sz w:val="20"/>
          <w:szCs w:val="20"/>
          <w:color w:val="auto"/>
        </w:rPr>
      </w:pPr>
    </w:p>
    <w:p>
      <w:pPr>
        <w:jc w:val="both"/>
        <w:ind w:left="1080" w:right="419" w:hanging="335"/>
        <w:spacing w:after="0" w:line="25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generally and specifically in our industry sectors, and other risks relating to the global economy, including, but not limited to, the Russia-Ukraine conflict, war in the Middle East, and any related responses or actions by businesses and governments;</w:t>
      </w:r>
    </w:p>
    <w:p>
      <w:pPr>
        <w:spacing w:after="0" w:line="75"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cash flows received from our assets, as well as contractual limitations on the use of our aviation assets to secure debt for borrowed money;</w:t>
      </w:r>
    </w:p>
    <w:p>
      <w:pPr>
        <w:spacing w:after="0" w:line="62"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advantage of acquisition opportunities at favorable prices;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anticipated benefits of our strategic initiatives;</w:t>
      </w:r>
    </w:p>
    <w:p>
      <w:pPr>
        <w:spacing w:after="0" w:line="109"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liquidity surrounding our assets, which could impede our ability to vary our portfolio in an appropriate manner;</w:t>
      </w:r>
    </w:p>
    <w:p>
      <w:pPr>
        <w:spacing w:after="0" w:line="62"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spreads between the yield on the assets we acquire and the cost of financing;</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financing markets we access affecting our ability to finance our acquisitions;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or lessee defaults on their obligations;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existing contracts and enter into new contracts with existing or potential lessees;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capital for future acquisitions;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involving our Strategic Capital Initiative;</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a particular type of asset or in a particular sector;</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within the aviation industry;</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market for acquisition opportunities;</w:t>
      </w:r>
    </w:p>
    <w:p>
      <w:pPr>
        <w:spacing w:after="0" w:line="109"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operating through joint ventures, partnerships, consortium arrangements or other collaborations with third parties;</w:t>
      </w:r>
    </w:p>
    <w:p>
      <w:pPr>
        <w:spacing w:after="0" w:line="62"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businesses;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obsolescence of our assets or our ability to sell, re-lease or re-charter our assets;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uninsurable losses and force majeure events;</w:t>
      </w:r>
    </w:p>
    <w:p>
      <w:pPr>
        <w:spacing w:after="0" w:line="109"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trade disputes, including the imposition of new or increased tariffs, sanctions or other restrictions, and the legislative/regulatory environment and exposure to increased economic regulation;</w:t>
      </w:r>
    </w:p>
    <w:p>
      <w:pPr>
        <w:spacing w:after="0" w:line="62"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the oil and gas industry’s volatile oil and gas prices;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7" w:name="page8"/>
    <w:bookmarkEnd w:id="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2" w:lineRule="exact"/>
        <w:rPr>
          <w:sz w:val="20"/>
          <w:szCs w:val="20"/>
          <w:color w:val="auto"/>
        </w:rPr>
      </w:pPr>
    </w:p>
    <w:p>
      <w:pPr>
        <w:ind w:left="1080" w:right="419" w:hanging="335"/>
        <w:spacing w:after="0" w:line="269"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effective legal redress in jurisdictions in which we operate with less developed legal systems;</w:t>
      </w:r>
    </w:p>
    <w:p>
      <w:pPr>
        <w:spacing w:after="0" w:line="62" w:lineRule="exact"/>
        <w:rPr>
          <w:rFonts w:ascii="Times New Roman" w:cs="Times New Roman" w:eastAsia="Times New Roman" w:hAnsi="Times New Roman"/>
          <w:sz w:val="18"/>
          <w:szCs w:val="18"/>
          <w:color w:val="auto"/>
        </w:rPr>
      </w:pPr>
    </w:p>
    <w:p>
      <w:pPr>
        <w:jc w:val="both"/>
        <w:ind w:left="1080" w:right="419" w:hanging="335"/>
        <w:spacing w:after="0" w:line="25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exemption from registration under the Investment Company Act of 1940, as amended and the Investment Advisers Act of 1940, as amended and the fact that maintaining such exemption imposes limits on our operations;</w:t>
      </w:r>
    </w:p>
    <w:p>
      <w:pPr>
        <w:spacing w:after="0" w:line="75"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utilize leverage in connection with our investments;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risk and risk management activities;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our internal control over financial reporting;</w:t>
      </w:r>
    </w:p>
    <w:p>
      <w:pPr>
        <w:spacing w:after="0" w:line="109"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environmental risks, including natural disasters, increasing environmental legislation and the broader impacts of climate change;</w:t>
      </w:r>
    </w:p>
    <w:p>
      <w:pPr>
        <w:spacing w:after="0" w:line="62"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and/or credit spreads, as well as the success of any hedging strategy we may undertake in relation to such changes;</w:t>
      </w:r>
    </w:p>
    <w:p>
      <w:pPr>
        <w:spacing w:after="0" w:line="62"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national, state, or provincial governments, including nationalization, or the imposition of new taxes, could materially impact the financial performance or value of our assets;</w:t>
      </w:r>
    </w:p>
    <w:p>
      <w:pPr>
        <w:spacing w:after="0" w:line="62"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highly skilled management and other personnel;</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 of our shares;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pay dividends to our shareholders in the future;</w:t>
      </w:r>
    </w:p>
    <w:p>
      <w:pPr>
        <w:spacing w:after="0" w:line="109"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our past and future acquisitions, and our ability to successfully integrate acquired assets and assumed liabilities; and</w:t>
      </w:r>
    </w:p>
    <w:p>
      <w:pPr>
        <w:spacing w:after="0" w:line="62"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 “Risk Factors” section of this registration statement and the Form 10-K.</w:t>
      </w:r>
    </w:p>
    <w:p>
      <w:pPr>
        <w:spacing w:after="0" w:line="109" w:lineRule="exact"/>
        <w:rPr>
          <w:sz w:val="20"/>
          <w:szCs w:val="20"/>
          <w:color w:val="auto"/>
        </w:rPr>
      </w:pPr>
    </w:p>
    <w:p>
      <w:pPr>
        <w:jc w:val="both"/>
        <w:ind w:left="400" w:right="399" w:firstLine="351"/>
        <w:spacing w:after="0" w:line="256" w:lineRule="auto"/>
        <w:rPr>
          <w:sz w:val="20"/>
          <w:szCs w:val="20"/>
          <w:color w:val="auto"/>
        </w:rPr>
      </w:pPr>
      <w:r>
        <w:rPr>
          <w:rFonts w:ascii="Times New Roman" w:cs="Times New Roman" w:eastAsia="Times New Roman" w:hAnsi="Times New Roman"/>
          <w:sz w:val="18"/>
          <w:szCs w:val="18"/>
          <w:color w:val="auto"/>
        </w:rPr>
        <w:t>Readers are cautioned not to place undue reliance on any of these forward-looking statements, which reflect our management’s views as of the date of this prospectus. The factors noted above could cause our actual results to differ significantly from those contained in any forward-looking statement.</w:t>
      </w:r>
    </w:p>
    <w:p>
      <w:pPr>
        <w:spacing w:after="0" w:line="75" w:lineRule="exact"/>
        <w:rPr>
          <w:sz w:val="20"/>
          <w:szCs w:val="20"/>
          <w:color w:val="auto"/>
        </w:rPr>
      </w:pPr>
    </w:p>
    <w:p>
      <w:pPr>
        <w:jc w:val="both"/>
        <w:ind w:left="400" w:right="419" w:firstLine="351"/>
        <w:spacing w:after="0" w:line="303" w:lineRule="auto"/>
        <w:rPr>
          <w:sz w:val="20"/>
          <w:szCs w:val="20"/>
          <w:color w:val="auto"/>
        </w:rPr>
      </w:pPr>
      <w:r>
        <w:rPr>
          <w:rFonts w:ascii="Times New Roman" w:cs="Times New Roman" w:eastAsia="Times New Roman" w:hAnsi="Times New Roman"/>
          <w:sz w:val="16"/>
          <w:szCs w:val="16"/>
          <w:color w:val="auto"/>
        </w:rPr>
        <w:t>Although we believe that the expectations reflected in the forward-looking statements are reasonable, we cannot guarantee future results, levels of activity, performance or achievements. We are under no duty to update any of the forward-looking statements after the date of this prospectus to conform these statements to actual results.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8" w:name="page9"/>
    <w:bookmarkEnd w:id="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FTAI AVIATION LTD.</w:t>
      </w:r>
    </w:p>
    <w:p>
      <w:pPr>
        <w:spacing w:after="0" w:line="3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11"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We are a leading independent engine maintenance platform focused on the CFM56-5B, CFM56-7B and V2500 aircraft engines which power the 737NG and A320ceo aircraft. We repair and rebuild engines in our maintenance facilities and with our joint venture partners, and sell or lease the engines to airlines and asset owners around the world. Our primary business model is to sell or lease engines via exchange through our proprietary Maintenance, Repair and Exchange model which is reported under our Aerospace Products segment.</w:t>
      </w:r>
    </w:p>
    <w:p>
      <w:pPr>
        <w:spacing w:after="0" w:line="81"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We also own and manage a portfolio of on- and off-lease aircraft and engines through our Aviation Leasing segment. While historically these investment activities have been primarily held on balance sheet, at the end of 2024, we launched our Strategic Capital Initiative, which consists of an asset management business that manages third-party capital to invest in on-lease aircraft and engines. We expect our primary investment activities to be through our Strategic Capital Initiative going forward.</w:t>
      </w:r>
    </w:p>
    <w:p>
      <w:pPr>
        <w:spacing w:after="0" w:line="13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As of March 31, 2026, we had total consolidated assets of $4.5 billion and total equity of $431.7 million.</w:t>
      </w:r>
    </w:p>
    <w:p>
      <w:pPr>
        <w:spacing w:after="0" w:line="3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1" w:lineRule="exact"/>
        <w:rPr>
          <w:sz w:val="20"/>
          <w:szCs w:val="20"/>
          <w:color w:val="auto"/>
        </w:rPr>
      </w:pPr>
    </w:p>
    <w:p>
      <w:pPr>
        <w:jc w:val="both"/>
        <w:ind w:left="400" w:right="399" w:firstLine="351"/>
        <w:spacing w:after="0" w:line="269" w:lineRule="auto"/>
        <w:rPr>
          <w:sz w:val="20"/>
          <w:szCs w:val="20"/>
          <w:color w:val="auto"/>
        </w:rPr>
      </w:pPr>
      <w:r>
        <w:rPr>
          <w:rFonts w:ascii="Times New Roman" w:cs="Times New Roman" w:eastAsia="Times New Roman" w:hAnsi="Times New Roman"/>
          <w:sz w:val="18"/>
          <w:szCs w:val="18"/>
          <w:color w:val="auto"/>
        </w:rPr>
        <w:t>Nasdaq lists our ordinary shares under the trading symbol “FTAI,” our Series C Preferred Shares under the trading symbol “FTAIN” and our Series D Preferred Shares under the trading symbol “FTAIM.”</w:t>
      </w:r>
    </w:p>
    <w:p>
      <w:pPr>
        <w:spacing w:after="0" w:line="63"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We are formed in the Cayman Islands and our principal executive offices are located at 405 W 13th St, 3rd Floor, New York, New York 10014. Our telephone number is (332) 239-7600. Our web address is www.ftaiaviation.com. We have included our website address in this prospectus solely as an inactive textual reference. The information on or otherwise accessible through our website does not constitute a part of, and is not incorporated by reference into, this prospectus or any accompanying prospectus supplement.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9" w:name="page10"/>
    <w:bookmarkEnd w:id="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1"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Before you invest in any of our securities, in addition to the other information in this prospectus and any prospectus supplement or other offering materials, you should carefully consider the risk factors under the heading “Risk Factors” contained in the Form 10-K, as the same may be amended, supplemented or superseded from time to time by our filings under Sections 13(a), 13(c), 14 and 15(d) of the Exchange Act that are incorporated by reference in this prospectus and any accompanying prospectus supplement. These risks could materially and adversely affect our business, operating results, cash flows and financial condition and could result in a partial or complete loss of your investment. See “Incorporation of Certain Documents By Reference” and “Cautionary Statement Regarding Forward-Looking Statements.”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11" w:lineRule="exact"/>
        <w:rPr>
          <w:sz w:val="20"/>
          <w:szCs w:val="20"/>
          <w:color w:val="auto"/>
        </w:rPr>
      </w:pPr>
    </w:p>
    <w:p>
      <w:pPr>
        <w:jc w:val="both"/>
        <w:ind w:left="400" w:right="399" w:firstLine="351"/>
        <w:spacing w:after="0" w:line="25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or other offering material, we will use the net proceeds from any sale of securities for general corporate purposes, which may include funding one or more acquisitions in whole or in part. We may provide additional information on the use of the net proceeds from any sale of securities in an applicable prospectus supplement or other offering materials relating to the securities.</w:t>
      </w:r>
    </w:p>
    <w:p>
      <w:pPr>
        <w:spacing w:after="0" w:line="79" w:lineRule="exact"/>
        <w:rPr>
          <w:sz w:val="20"/>
          <w:szCs w:val="20"/>
          <w:color w:val="auto"/>
        </w:rPr>
      </w:pPr>
    </w:p>
    <w:p>
      <w:pPr>
        <w:jc w:val="both"/>
        <w:ind w:left="400" w:right="419" w:firstLine="351"/>
        <w:spacing w:after="0" w:line="256" w:lineRule="auto"/>
        <w:rPr>
          <w:sz w:val="20"/>
          <w:szCs w:val="20"/>
          <w:color w:val="auto"/>
        </w:rPr>
      </w:pPr>
      <w:r>
        <w:rPr>
          <w:rFonts w:ascii="Times New Roman" w:cs="Times New Roman" w:eastAsia="Times New Roman" w:hAnsi="Times New Roman"/>
          <w:sz w:val="18"/>
          <w:szCs w:val="18"/>
          <w:color w:val="auto"/>
        </w:rPr>
        <w:t>Unless set forth in an accompanying prospectus supplement, we will not receive any proceeds in the event that securities are sold by a selling shareholder. We may pay certain expenses in connection with sales by selling shareholders.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11" w:name="page12"/>
    <w:bookmarkEnd w:id="1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11"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We may offer unsecured debt securities in one or more series which may be senior, subordinated or junior subordinated, and which may be convertible into another security. Unless otherwise specified in the applicable prospectus supplement, our debt securities will be issued in one or more series under an indenture to be entered into between us and U.S. Bank, National Association. Holders of our indebtedness will be structurally subordinated to holders of any indebtedness (including trade payables) of any of our subsidiaries.</w:t>
      </w:r>
    </w:p>
    <w:p>
      <w:pPr>
        <w:spacing w:after="0" w:line="81"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The following description briefly sets forth certain general terms and provisions of the debt securities. The particular terms of the debt securities offered by any prospectus supplement and the extent, if any, to which these general provisions may apply to the debt securities, will be described in the applicable prospectus supplement. A form of the indenture is attached as an exhibit to the registration statement of which this prospectus forms a part. The terms of the debt securities will include those set forth in the applicable indenture and those made a part of the global indenture by the Trust Indenture Act of 1939, as amended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You should read the summary below, the applicable prospectus supplement and provisions of the applicable indenture and indenture supplement, if any, in their entirety before investing in our debt securities.</w:t>
      </w:r>
    </w:p>
    <w:p>
      <w:pPr>
        <w:spacing w:after="0" w:line="87" w:lineRule="exact"/>
        <w:rPr>
          <w:sz w:val="20"/>
          <w:szCs w:val="20"/>
          <w:color w:val="auto"/>
        </w:rPr>
      </w:pPr>
    </w:p>
    <w:p>
      <w:pPr>
        <w:jc w:val="both"/>
        <w:ind w:left="400" w:right="399" w:firstLine="351"/>
        <w:spacing w:after="0" w:line="256" w:lineRule="auto"/>
        <w:rPr>
          <w:sz w:val="20"/>
          <w:szCs w:val="20"/>
          <w:color w:val="auto"/>
        </w:rPr>
      </w:pPr>
      <w:r>
        <w:rPr>
          <w:rFonts w:ascii="Times New Roman" w:cs="Times New Roman" w:eastAsia="Times New Roman" w:hAnsi="Times New Roman"/>
          <w:sz w:val="18"/>
          <w:szCs w:val="18"/>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the following:</w:t>
      </w:r>
    </w:p>
    <w:p>
      <w:pPr>
        <w:spacing w:after="0" w:line="75" w:lineRule="exact"/>
        <w:rPr>
          <w:sz w:val="20"/>
          <w:szCs w:val="20"/>
          <w:color w:val="auto"/>
        </w:rPr>
      </w:pPr>
    </w:p>
    <w:p>
      <w:pPr>
        <w:ind w:left="1080" w:right="419" w:hanging="335"/>
        <w:spacing w:after="0" w:line="269"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principal amount of the debt securities and any limit on the aggregate principal amount;</w:t>
      </w:r>
    </w:p>
    <w:p>
      <w:pPr>
        <w:spacing w:after="0" w:line="62"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subordinated or junior subordinated;</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subordination provisions for any subordinated debt securities;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 or method for determining same;</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for determining same;</w:t>
      </w:r>
    </w:p>
    <w:p>
      <w:pPr>
        <w:spacing w:after="0" w:line="109" w:lineRule="exact"/>
        <w:rPr>
          <w:rFonts w:ascii="Times New Roman" w:cs="Times New Roman" w:eastAsia="Times New Roman" w:hAnsi="Times New Roman"/>
          <w:sz w:val="18"/>
          <w:szCs w:val="18"/>
          <w:color w:val="auto"/>
        </w:rPr>
      </w:pPr>
    </w:p>
    <w:p>
      <w:pPr>
        <w:jc w:val="both"/>
        <w:ind w:left="1080" w:right="419" w:hanging="335"/>
        <w:spacing w:after="0" w:line="25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accrue or the method for determining dates on which interest will accrue and dates on which interest will be payable and whether interest shall be payable in cash or additional securities;</w:t>
      </w:r>
    </w:p>
    <w:p>
      <w:pPr>
        <w:spacing w:after="0" w:line="75"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or exchangeable into other securities and any related terms and conditions;</w:t>
      </w:r>
    </w:p>
    <w:p>
      <w:pPr>
        <w:spacing w:after="0" w:line="62"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early repayment provisions;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 principal amount of debt securities payable upon acceleration;</w:t>
      </w:r>
    </w:p>
    <w:p>
      <w:pPr>
        <w:spacing w:after="0" w:line="109"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where payment of principal and interest may be made, where debt securities may be presented and where notices or demands upon the company may be made;</w:t>
      </w:r>
    </w:p>
    <w:p>
      <w:pPr>
        <w:spacing w:after="0" w:line="62"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debt securities will be issued in whole or in part in the form of one or more global securities and the date as which the securities are dated if other than the date of original issuance;</w:t>
      </w:r>
    </w:p>
    <w:p>
      <w:pPr>
        <w:spacing w:after="0" w:line="62"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discount or premium, if any, with which such debt securities will be issued;</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109"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in the defaults and events of default applicable to the particular debt securities being issued;</w:t>
      </w:r>
    </w:p>
    <w:p>
      <w:pPr>
        <w:spacing w:after="0" w:line="62"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of each series, if any, and the extent of the guarantees (including provisions relating to seniority, subordination and release of the guarantees), if any;</w:t>
      </w:r>
    </w:p>
    <w:p>
      <w:pPr>
        <w:spacing w:after="0" w:line="62"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purchase price for, the principal of and any premium and any interest on, such debt securities will be payable;</w:t>
      </w:r>
    </w:p>
    <w:p>
      <w:pPr>
        <w:spacing w:after="0" w:line="62"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 within which, the manner in which and the terms and conditions upon which the holders of the debt securities or the company can select the payment currency;</w:t>
      </w:r>
    </w:p>
    <w:p>
      <w:pPr>
        <w:spacing w:after="0" w:line="62"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debt securities under a sinking fund, amortization or analogous provision;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2" w:lineRule="exact"/>
        <w:rPr>
          <w:sz w:val="20"/>
          <w:szCs w:val="20"/>
          <w:color w:val="auto"/>
        </w:rPr>
      </w:pPr>
    </w:p>
    <w:p>
      <w:pPr>
        <w:ind w:left="1080" w:hanging="335"/>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conditions on the transferability of the debt securities;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granting special rights to holders of the debt securities upon occurrence of specified events;</w:t>
      </w:r>
    </w:p>
    <w:p>
      <w:pPr>
        <w:spacing w:after="0" w:line="109"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relating to compensation or reimbursement of the trustee of the series of debt securities;</w:t>
      </w:r>
    </w:p>
    <w:p>
      <w:pPr>
        <w:spacing w:after="0" w:line="62"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to the provisions for the defeasance of the debt securities or to provisions related to satisfaction and discharge of the indenture;</w:t>
      </w:r>
    </w:p>
    <w:p>
      <w:pPr>
        <w:spacing w:after="0" w:line="62" w:lineRule="exact"/>
        <w:rPr>
          <w:rFonts w:ascii="Times New Roman" w:cs="Times New Roman" w:eastAsia="Times New Roman" w:hAnsi="Times New Roman"/>
          <w:sz w:val="18"/>
          <w:szCs w:val="18"/>
          <w:color w:val="auto"/>
        </w:rPr>
      </w:pPr>
    </w:p>
    <w:p>
      <w:pPr>
        <w:jc w:val="both"/>
        <w:ind w:left="1080" w:right="419" w:hanging="335"/>
        <w:spacing w:after="0" w:line="25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75" w:lineRule="exact"/>
        <w:rPr>
          <w:rFonts w:ascii="Times New Roman" w:cs="Times New Roman" w:eastAsia="Times New Roman" w:hAnsi="Times New Roman"/>
          <w:sz w:val="18"/>
          <w:szCs w:val="18"/>
          <w:color w:val="auto"/>
        </w:rPr>
      </w:pPr>
    </w:p>
    <w:p>
      <w:pPr>
        <w:jc w:val="both"/>
        <w:ind w:left="1080" w:right="419" w:hanging="335"/>
        <w:spacing w:after="0" w:line="25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terms shall not be inconsistent with the provisions of the TIA, but may modify, amend, supplement or delete any of the terms of the indenture with respect to such debt securities).</w:t>
      </w:r>
    </w:p>
    <w:p>
      <w:pPr>
        <w:spacing w:after="0" w:line="3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1"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81"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We will describe in the applicable prospectus supplement any other special considerations for any debt securities we sell which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would be linked, will be described in the applicable prospectus supplement.</w:t>
      </w:r>
    </w:p>
    <w:p>
      <w:pPr>
        <w:spacing w:after="0" w:line="85" w:lineRule="exact"/>
        <w:rPr>
          <w:sz w:val="20"/>
          <w:szCs w:val="20"/>
          <w:color w:val="auto"/>
        </w:rPr>
      </w:pPr>
    </w:p>
    <w:p>
      <w:pPr>
        <w:jc w:val="both"/>
        <w:ind w:left="400" w:right="399" w:firstLine="351"/>
        <w:spacing w:after="0" w:line="256"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series will be described in the applicable prospectus supplement. Unless we inform you otherwise in the applicable prospectus supplement, the debt securities will not be listed on any securities exchange.</w:t>
      </w:r>
    </w:p>
    <w:p>
      <w:pPr>
        <w:spacing w:after="0" w:line="75" w:lineRule="exact"/>
        <w:rPr>
          <w:sz w:val="20"/>
          <w:szCs w:val="20"/>
          <w:color w:val="auto"/>
        </w:rPr>
      </w:pPr>
    </w:p>
    <w:p>
      <w:pPr>
        <w:jc w:val="both"/>
        <w:ind w:left="400" w:right="419" w:firstLine="351"/>
        <w:spacing w:after="0" w:line="250" w:lineRule="auto"/>
        <w:rPr>
          <w:sz w:val="20"/>
          <w:szCs w:val="20"/>
          <w:color w:val="auto"/>
        </w:rPr>
      </w:pPr>
      <w:r>
        <w:rPr>
          <w:rFonts w:ascii="Times New Roman" w:cs="Times New Roman" w:eastAsia="Times New Roman" w:hAnsi="Times New Roman"/>
          <w:sz w:val="18"/>
          <w:szCs w:val="18"/>
          <w:color w:val="auto"/>
        </w:rPr>
        <w:t>We expect most debt securities to be issued in fully registered form without coupons and in denominations of $2,000 and any integral multiples of $1,000 in excess thereof. Subject to the limitations provided in the indenture and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11"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Unless we inform you otherwise in the applicable prospectus supplement, the 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to another nominee of such depositary or by such depositary or any such nominee to a successor of such depositary or to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3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11" w:lineRule="exact"/>
        <w:rPr>
          <w:sz w:val="20"/>
          <w:szCs w:val="20"/>
          <w:color w:val="auto"/>
        </w:rPr>
      </w:pPr>
    </w:p>
    <w:p>
      <w:pPr>
        <w:jc w:val="both"/>
        <w:ind w:left="400" w:right="419" w:firstLine="351"/>
        <w:spacing w:after="0" w:line="269" w:lineRule="auto"/>
        <w:rPr>
          <w:sz w:val="20"/>
          <w:szCs w:val="20"/>
          <w:color w:val="auto"/>
        </w:rPr>
      </w:pPr>
      <w:r>
        <w:rPr>
          <w:rFonts w:ascii="Times New Roman" w:cs="Times New Roman" w:eastAsia="Times New Roman" w:hAnsi="Times New Roman"/>
          <w:sz w:val="18"/>
          <w:szCs w:val="18"/>
          <w:color w:val="auto"/>
        </w:rPr>
        <w:t>The indenture and the debt securities shall be construed in accordance with and governed by the laws of the State of New York, without regard to conflicts of laws principles thereof.</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13" w:name="page14"/>
    <w:bookmarkEnd w:id="1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SHARES</w:t>
      </w:r>
    </w:p>
    <w:p>
      <w:pPr>
        <w:spacing w:after="0" w:line="111" w:lineRule="exact"/>
        <w:rPr>
          <w:sz w:val="20"/>
          <w:szCs w:val="20"/>
          <w:color w:val="auto"/>
        </w:rPr>
      </w:pPr>
    </w:p>
    <w:p>
      <w:pPr>
        <w:jc w:val="both"/>
        <w:ind w:left="400" w:right="399" w:firstLine="351"/>
        <w:spacing w:after="0" w:line="289" w:lineRule="auto"/>
        <w:rPr>
          <w:sz w:val="20"/>
          <w:szCs w:val="20"/>
          <w:color w:val="auto"/>
        </w:rPr>
      </w:pPr>
      <w:r>
        <w:rPr>
          <w:rFonts w:ascii="Times New Roman" w:cs="Times New Roman" w:eastAsia="Times New Roman" w:hAnsi="Times New Roman"/>
          <w:sz w:val="16"/>
          <w:szCs w:val="16"/>
          <w:color w:val="auto"/>
        </w:rPr>
        <w:t>The following description of our ordinary shares, preferred shares and provisions of our amended and restated memorandum and articles of association (as amended from time to time, the “</w:t>
      </w:r>
      <w:r>
        <w:rPr>
          <w:rFonts w:ascii="Times New Roman" w:cs="Times New Roman" w:eastAsia="Times New Roman" w:hAnsi="Times New Roman"/>
          <w:sz w:val="16"/>
          <w:szCs w:val="16"/>
          <w:b w:val="1"/>
          <w:bCs w:val="1"/>
          <w:color w:val="auto"/>
        </w:rPr>
        <w:t>Articles</w:t>
      </w:r>
      <w:r>
        <w:rPr>
          <w:rFonts w:ascii="Times New Roman" w:cs="Times New Roman" w:eastAsia="Times New Roman" w:hAnsi="Times New Roman"/>
          <w:sz w:val="16"/>
          <w:szCs w:val="16"/>
          <w:color w:val="auto"/>
        </w:rPr>
        <w:t>”) do not purport to be complete and are subject to, and are qualified in their entirety by reference to, all of the provisions of our Articles, a copy of which has been filed as an exhibit to the registration statement of which this prospectus forms a part. Prospective investors are urged to read the exhibits for a complete understanding of our operating agreement.</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Under the Articles, our authorized share capital consists of:</w:t>
      </w:r>
    </w:p>
    <w:p>
      <w:pPr>
        <w:spacing w:after="0" w:line="107" w:lineRule="exact"/>
        <w:rPr>
          <w:sz w:val="20"/>
          <w:szCs w:val="20"/>
          <w:color w:val="auto"/>
        </w:rPr>
      </w:pPr>
    </w:p>
    <w:p>
      <w:pPr>
        <w:ind w:left="1080" w:hanging="335"/>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2,000,000,000 ordinary shares, par value $0.01 per share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and</w:t>
      </w:r>
    </w:p>
    <w:p>
      <w:pPr>
        <w:spacing w:after="0" w:line="109" w:lineRule="exact"/>
        <w:rPr>
          <w:rFonts w:ascii="Times New Roman" w:cs="Times New Roman" w:eastAsia="Times New Roman" w:hAnsi="Times New Roman"/>
          <w:sz w:val="18"/>
          <w:szCs w:val="18"/>
          <w:color w:val="auto"/>
        </w:rPr>
      </w:pPr>
    </w:p>
    <w:p>
      <w:pPr>
        <w:jc w:val="both"/>
        <w:ind w:left="1080" w:right="419" w:hanging="335"/>
        <w:spacing w:after="0" w:line="25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preferred shares, par value $0.01 per share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4,200,000 of which are designated as Series C Preferred Shares and 2,600,000 of which are designated as Series D Preferred Shares.</w:t>
      </w:r>
    </w:p>
    <w:p>
      <w:pPr>
        <w:spacing w:after="0" w:line="72" w:lineRule="exact"/>
        <w:rPr>
          <w:sz w:val="20"/>
          <w:szCs w:val="20"/>
          <w:color w:val="auto"/>
        </w:rPr>
      </w:pPr>
    </w:p>
    <w:p>
      <w:pPr>
        <w:jc w:val="both"/>
        <w:ind w:left="400" w:right="419" w:firstLine="351"/>
        <w:spacing w:after="0" w:line="269" w:lineRule="auto"/>
        <w:rPr>
          <w:sz w:val="20"/>
          <w:szCs w:val="20"/>
          <w:color w:val="auto"/>
        </w:rPr>
      </w:pPr>
      <w:r>
        <w:rPr>
          <w:rFonts w:ascii="Times New Roman" w:cs="Times New Roman" w:eastAsia="Times New Roman" w:hAnsi="Times New Roman"/>
          <w:sz w:val="18"/>
          <w:szCs w:val="18"/>
          <w:color w:val="auto"/>
        </w:rPr>
        <w:t>All of the issued and outstanding ordinary shares and our Series C Preferred Shares and Series D Preferred Shares are fully paid and non-assessable.</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11"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No holder of ordinary shares is entitled to preemptive, preferential or similar rights or redemption or conversion rights. Holders of ordinary shares are entitled to one vote per share on all matters submitted to a vote of holders of ordinary shares. Unless a different majority is required by law or by our Articles, resolutions to be approved by holders of ordinary shares require approval by a simple majority of votes cast at a meeting at which a quorum is present.</w:t>
      </w:r>
    </w:p>
    <w:p>
      <w:pPr>
        <w:spacing w:after="0" w:line="81" w:lineRule="exact"/>
        <w:rPr>
          <w:sz w:val="20"/>
          <w:szCs w:val="20"/>
          <w:color w:val="auto"/>
        </w:rPr>
      </w:pPr>
    </w:p>
    <w:p>
      <w:pPr>
        <w:jc w:val="both"/>
        <w:ind w:left="400" w:right="399" w:firstLine="351"/>
        <w:spacing w:after="0" w:line="249" w:lineRule="auto"/>
        <w:rPr>
          <w:sz w:val="20"/>
          <w:szCs w:val="20"/>
          <w:color w:val="auto"/>
        </w:rPr>
      </w:pPr>
      <w:r>
        <w:rPr>
          <w:rFonts w:ascii="Times New Roman" w:cs="Times New Roman" w:eastAsia="Times New Roman" w:hAnsi="Times New Roman"/>
          <w:sz w:val="18"/>
          <w:szCs w:val="18"/>
          <w:color w:val="auto"/>
        </w:rPr>
        <w:t>Each holder of ordinary shares is entitled to one vote for each ordinary share held on all matters submitted to a vote of shareholders. Except as provided with respect to any other class or series of shares, the holders of our ordinary shares will possess the exclusive right to vote for the election of directors and for all other purposes. Our Articles do not provide for cumulative voting in the election of directors, which means that the holders of a majority of the outstanding ordinary shares can elect all of the directors standing for election, and the holders of the remaining shares are not able to elect any directors.</w:t>
      </w:r>
    </w:p>
    <w:p>
      <w:pPr>
        <w:spacing w:after="0" w:line="82" w:lineRule="exact"/>
        <w:rPr>
          <w:sz w:val="20"/>
          <w:szCs w:val="20"/>
          <w:color w:val="auto"/>
        </w:rPr>
      </w:pPr>
    </w:p>
    <w:p>
      <w:pPr>
        <w:jc w:val="both"/>
        <w:ind w:left="400" w:right="399" w:firstLine="351"/>
        <w:spacing w:after="0" w:line="279" w:lineRule="auto"/>
        <w:rPr>
          <w:sz w:val="20"/>
          <w:szCs w:val="20"/>
          <w:color w:val="auto"/>
        </w:rPr>
      </w:pPr>
      <w:r>
        <w:rPr>
          <w:rFonts w:ascii="Times New Roman" w:cs="Times New Roman" w:eastAsia="Times New Roman" w:hAnsi="Times New Roman"/>
          <w:sz w:val="16"/>
          <w:szCs w:val="16"/>
          <w:color w:val="auto"/>
        </w:rPr>
        <w:t xml:space="preserve">Although we currently intend to pay regular quarterly dividends to holders of our ordinary shares, we may change our dividend policy at any time. Our net cash provided by operating activities has been less than the amount of distributions to our shareholders. The declaration and payment of dividends to holders of our ordinary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In addition, while any Series C Preferred Shares or Series D Preferred Shares remain outstanding, unless the full cumulative distributions on past distribution periods for such shares have been or contemporaneously are declared and paid in full or declared and a sum sufficient for the payment of those distributions set aside, we are generally prohibited from declaring and paying or setting aside any dividends on our ordinary shares. See </w:t>
      </w:r>
      <w:r>
        <w:rPr>
          <w:rFonts w:ascii="Times New Roman" w:cs="Times New Roman" w:eastAsia="Times New Roman" w:hAnsi="Times New Roman"/>
          <w:sz w:val="16"/>
          <w:szCs w:val="16"/>
          <w:i w:val="1"/>
          <w:iCs w:val="1"/>
          <w:color w:val="auto"/>
        </w:rPr>
        <w:t>“Series C Preferred Shares—Priority Regarding Distributions”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“Series D Preferred Shares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—Priority Regarding Distributions.” </w:t>
      </w:r>
      <w:r>
        <w:rPr>
          <w:rFonts w:ascii="Times New Roman" w:cs="Times New Roman" w:eastAsia="Times New Roman" w:hAnsi="Times New Roman"/>
          <w:sz w:val="16"/>
          <w:szCs w:val="16"/>
          <w:color w:val="auto"/>
        </w:rPr>
        <w:t>Any rights of holders of our ordinary shares to receive dividends, if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declared from time to time by our board of directors out of legally available funds will also be subject to any preferred rights of holders of any additional preferred shares that we may issue in the future.</w:t>
      </w:r>
    </w:p>
    <w:p>
      <w:pPr>
        <w:spacing w:after="0" w:line="276" w:lineRule="exact"/>
        <w:rPr>
          <w:sz w:val="20"/>
          <w:szCs w:val="20"/>
          <w:color w:val="auto"/>
        </w:rPr>
      </w:pPr>
    </w:p>
    <w:p>
      <w:pPr>
        <w:jc w:val="both"/>
        <w:ind w:left="400" w:right="399" w:firstLine="351"/>
        <w:spacing w:after="0" w:line="249" w:lineRule="auto"/>
        <w:rPr>
          <w:sz w:val="20"/>
          <w:szCs w:val="20"/>
          <w:color w:val="auto"/>
        </w:rPr>
      </w:pPr>
      <w:r>
        <w:rPr>
          <w:rFonts w:ascii="Times New Roman" w:cs="Times New Roman" w:eastAsia="Times New Roman" w:hAnsi="Times New Roman"/>
          <w:sz w:val="18"/>
          <w:szCs w:val="18"/>
          <w:color w:val="auto"/>
        </w:rPr>
        <w:t>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including the indentures governing our senior notes and the amended and restated revolving credit facility.</w:t>
      </w:r>
    </w:p>
    <w:p>
      <w:pPr>
        <w:spacing w:after="0" w:line="82" w:lineRule="exact"/>
        <w:rPr>
          <w:sz w:val="20"/>
          <w:szCs w:val="20"/>
          <w:color w:val="auto"/>
        </w:rPr>
      </w:pPr>
    </w:p>
    <w:p>
      <w:pPr>
        <w:jc w:val="both"/>
        <w:ind w:left="400" w:right="399" w:firstLine="351"/>
        <w:spacing w:after="0" w:line="25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ordinary shares are entitled to share ratably in all assets remaining after the payment of liabilities, subject to any rights of holders of our preferred shares prior to distribution.</w:t>
      </w:r>
    </w:p>
    <w:p>
      <w:pPr>
        <w:spacing w:after="0" w:line="11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ordinary shares trade on Nasdaq Global Select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“FTAI.”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14" w:name="page15"/>
    <w:bookmarkEnd w:id="1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Series C Preferred Shares</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13"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The Articles authorize the Company to issue up to 200,000,000 preferred shares in one or more series, and the Company’s board of directors is authorized to fix the number of shares of each series and determine the rights, designations, preferences, powers and duties of any such series. The “</w:t>
      </w:r>
      <w:r>
        <w:rPr>
          <w:rFonts w:ascii="Times New Roman" w:cs="Times New Roman" w:eastAsia="Times New Roman" w:hAnsi="Times New Roman"/>
          <w:sz w:val="18"/>
          <w:szCs w:val="18"/>
          <w:b w:val="1"/>
          <w:bCs w:val="1"/>
          <w:color w:val="auto"/>
        </w:rPr>
        <w:t>8.25% Fixed-Rate Reset Series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Cumulative Perpetual Redeemable Preferred Shares</w:t>
      </w:r>
      <w:r>
        <w:rPr>
          <w:rFonts w:ascii="Times New Roman" w:cs="Times New Roman" w:eastAsia="Times New Roman" w:hAnsi="Times New Roman"/>
          <w:sz w:val="18"/>
          <w:szCs w:val="18"/>
          <w:color w:val="auto"/>
        </w:rPr>
        <w:t>” are designated as one series of our authorized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consisting of 4,200,000 Series C Preferred Shares.</w:t>
      </w:r>
    </w:p>
    <w:p>
      <w:pPr>
        <w:spacing w:after="0" w:line="81"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 xml:space="preserve">The Series C Preferred Shares represent perpetual equity interests in us and, unlike our indebtedness, do not give rise to a claim for payment of a principal amount at a particular date. As such, the Series C Preferred Shares rank junior to all of our current and future indebtedness and other liabilities with respect to assets available to satisfy claims against us. The Series C Preferred Shares have a fixed liquidation preference of $25.00 per Series C Preferred Share, plus an amount equal to accumulated and unpaid distributions thereon, if any, to, but excluding, the date of payment, whether or not declared; provided that the rights of the holders of Series C Preferred Shares to receive the liquidation preference will be subject to the proportional rights of holders of Parity Securities (as defined below) and to the other matters described under </w:t>
      </w:r>
      <w:r>
        <w:rPr>
          <w:rFonts w:ascii="Times New Roman" w:cs="Times New Roman" w:eastAsia="Times New Roman" w:hAnsi="Times New Roman"/>
          <w:sz w:val="18"/>
          <w:szCs w:val="18"/>
          <w:i w:val="1"/>
          <w:iCs w:val="1"/>
          <w:color w:val="auto"/>
        </w:rPr>
        <w:t>“—Liquidation Rights.”</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Series C Preferred Shares trade on Nasdaq under the symbol “FTAIN.”</w:t>
      </w:r>
    </w:p>
    <w:p>
      <w:pPr>
        <w:spacing w:after="0" w:line="3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Ranking</w:t>
      </w:r>
    </w:p>
    <w:p>
      <w:pPr>
        <w:spacing w:after="0" w:line="113" w:lineRule="exact"/>
        <w:rPr>
          <w:sz w:val="20"/>
          <w:szCs w:val="20"/>
          <w:color w:val="auto"/>
        </w:rPr>
      </w:pPr>
    </w:p>
    <w:p>
      <w:pPr>
        <w:jc w:val="both"/>
        <w:ind w:left="400" w:right="399" w:firstLine="351"/>
        <w:spacing w:after="0" w:line="282" w:lineRule="auto"/>
        <w:rPr>
          <w:sz w:val="20"/>
          <w:szCs w:val="20"/>
          <w:color w:val="auto"/>
        </w:rPr>
      </w:pPr>
      <w:r>
        <w:rPr>
          <w:rFonts w:ascii="Times New Roman" w:cs="Times New Roman" w:eastAsia="Times New Roman" w:hAnsi="Times New Roman"/>
          <w:sz w:val="16"/>
          <w:szCs w:val="16"/>
          <w:color w:val="auto"/>
        </w:rPr>
        <w:t>With respect to the payment of distributions and rights (including redemption rights) upon our liquidation, dissolution or winding up, the Series C Preferred Shares rank (i) senior and prior to our ordinary shares and any class or series of preferred shares that by its terms is designated as ranking junior to the Series C Preferred Shares,</w:t>
      </w:r>
    </w:p>
    <w:p>
      <w:pPr>
        <w:spacing w:after="0" w:line="1" w:lineRule="exact"/>
        <w:rPr>
          <w:sz w:val="20"/>
          <w:szCs w:val="20"/>
          <w:color w:val="auto"/>
        </w:rPr>
      </w:pPr>
    </w:p>
    <w:p>
      <w:pPr>
        <w:jc w:val="both"/>
        <w:ind w:left="400" w:right="399" w:hanging="6"/>
        <w:spacing w:after="0" w:line="244" w:lineRule="auto"/>
        <w:tabs>
          <w:tab w:leader="none" w:pos="6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pari passu with any class or series of preferred shares that by its terms is designated as ranking equal to the Series C Preferred Shares or does not state it is junior or senior to the Series C Preferred Shares (including our Series D Preferred Shares), (iii) junior to any class or series of preferred shares that is expressly designated as ranking senior to the Series C Preferred Shares (subject to receipt of any requisite consents prior to issuance) and</w:t>
      </w:r>
    </w:p>
    <w:p>
      <w:pPr>
        <w:spacing w:after="0" w:line="1" w:lineRule="exact"/>
        <w:rPr>
          <w:rFonts w:ascii="Times New Roman" w:cs="Times New Roman" w:eastAsia="Times New Roman" w:hAnsi="Times New Roman"/>
          <w:sz w:val="18"/>
          <w:szCs w:val="18"/>
          <w:color w:val="auto"/>
        </w:rPr>
      </w:pPr>
    </w:p>
    <w:p>
      <w:pPr>
        <w:jc w:val="both"/>
        <w:ind w:left="400" w:right="419" w:hanging="6"/>
        <w:spacing w:after="0" w:line="246" w:lineRule="auto"/>
        <w:tabs>
          <w:tab w:leader="none" w:pos="7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junior to all of our existing and future indebtedness (including indebtedness convertible into our ordinary shares or preferred shares) and other liabilities and to all liabilities and any preferred equity of our existing subsidiaries and any future subsidiaries.</w:t>
      </w:r>
    </w:p>
    <w:p>
      <w:pPr>
        <w:spacing w:after="0" w:line="84"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The Series C Preferred Shares are not convertible into, or exchangeable for, shares of any other class or series of our share capital or other securities and are not subject to any sinking fund or other obligation to redeem or repurchase the Series C Preferred Shares. The Series C Preferred Shares are not secured, are not guaranteed by us or any of our affiliates and are not subject to any other arrangement that legally or economically enhances the ranking of the Series C Preferred Shares.</w:t>
      </w:r>
    </w:p>
    <w:p>
      <w:pPr>
        <w:spacing w:after="0" w:line="3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13" w:lineRule="exact"/>
        <w:rPr>
          <w:sz w:val="20"/>
          <w:szCs w:val="20"/>
          <w:color w:val="auto"/>
        </w:rPr>
      </w:pPr>
    </w:p>
    <w:p>
      <w:pPr>
        <w:jc w:val="both"/>
        <w:ind w:left="400" w:right="399" w:firstLine="351"/>
        <w:spacing w:after="0" w:line="278" w:lineRule="auto"/>
        <w:rPr>
          <w:sz w:val="20"/>
          <w:szCs w:val="20"/>
          <w:color w:val="auto"/>
        </w:rPr>
      </w:pPr>
      <w:r>
        <w:rPr>
          <w:rFonts w:ascii="Times New Roman" w:cs="Times New Roman" w:eastAsia="Times New Roman" w:hAnsi="Times New Roman"/>
          <w:sz w:val="16"/>
          <w:szCs w:val="16"/>
          <w:color w:val="auto"/>
        </w:rPr>
        <w:t>Holders of the Series C Preferred Shares are entitled to receive, only when, as, and if declared by our board of directors, out of funds legally available for such purpose, cumulative cash distributions based on the stated liquidation preference of $25.00 per Series C Preferred Share at a rate equal to (i) from, and including, the original issue date of the Series C Preferred Shares, being the date of the completion of the merger, to, but excluding, June 15, 2026 (the “</w:t>
      </w:r>
      <w:r>
        <w:rPr>
          <w:rFonts w:ascii="Times New Roman" w:cs="Times New Roman" w:eastAsia="Times New Roman" w:hAnsi="Times New Roman"/>
          <w:sz w:val="16"/>
          <w:szCs w:val="16"/>
          <w:b w:val="1"/>
          <w:bCs w:val="1"/>
          <w:color w:val="auto"/>
        </w:rPr>
        <w:t>Series C Reset Rate Period</w:t>
      </w:r>
      <w:r>
        <w:rPr>
          <w:rFonts w:ascii="Times New Roman" w:cs="Times New Roman" w:eastAsia="Times New Roman" w:hAnsi="Times New Roman"/>
          <w:sz w:val="16"/>
          <w:szCs w:val="16"/>
          <w:color w:val="auto"/>
        </w:rPr>
        <w:t>”), 8.25% per annum, and (ii) beginning June 15, 2026 (the “</w:t>
      </w:r>
      <w:r>
        <w:rPr>
          <w:rFonts w:ascii="Times New Roman" w:cs="Times New Roman" w:eastAsia="Times New Roman" w:hAnsi="Times New Roman"/>
          <w:sz w:val="16"/>
          <w:szCs w:val="16"/>
          <w:b w:val="1"/>
          <w:bCs w:val="1"/>
          <w:color w:val="auto"/>
        </w:rPr>
        <w:t>Series 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Fixed Rate Period</w:t>
      </w:r>
      <w:r>
        <w:rPr>
          <w:rFonts w:ascii="Times New Roman" w:cs="Times New Roman" w:eastAsia="Times New Roman" w:hAnsi="Times New Roman"/>
          <w:sz w:val="16"/>
          <w:szCs w:val="16"/>
          <w:color w:val="auto"/>
        </w:rPr>
        <w:t>”), the Five-Year Treasury Rate (as defined below) plus a spread of 737.8 basis points per annum;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provided that if the Five-Year Treasury Rate for any Distribution Period (as defined below) described in this clause</w:t>
      </w:r>
    </w:p>
    <w:p>
      <w:pPr>
        <w:spacing w:after="0" w:line="1" w:lineRule="exact"/>
        <w:rPr>
          <w:sz w:val="20"/>
          <w:szCs w:val="20"/>
          <w:color w:val="auto"/>
        </w:rPr>
      </w:pPr>
    </w:p>
    <w:p>
      <w:pPr>
        <w:jc w:val="both"/>
        <w:ind w:left="400" w:right="399" w:hanging="6"/>
        <w:spacing w:after="0" w:line="245" w:lineRule="auto"/>
        <w:tabs>
          <w:tab w:leader="none" w:pos="68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cannot be determined pursuant to the definition of “Five-Year Treasury Rate,” the distribution rate for such Distribution Period will be the same as the distribution rate determined for the immediately preceding Distribution Period. A “</w:t>
      </w:r>
      <w:r>
        <w:rPr>
          <w:rFonts w:ascii="Times New Roman" w:cs="Times New Roman" w:eastAsia="Times New Roman" w:hAnsi="Times New Roman"/>
          <w:sz w:val="18"/>
          <w:szCs w:val="18"/>
          <w:b w:val="1"/>
          <w:bCs w:val="1"/>
          <w:color w:val="auto"/>
        </w:rPr>
        <w:t>Distribution Period</w:t>
      </w:r>
      <w:r>
        <w:rPr>
          <w:rFonts w:ascii="Times New Roman" w:cs="Times New Roman" w:eastAsia="Times New Roman" w:hAnsi="Times New Roman"/>
          <w:sz w:val="18"/>
          <w:szCs w:val="18"/>
          <w:color w:val="auto"/>
        </w:rPr>
        <w:t>” means the period from, and including, each Distribution Payment Date to, but excluding, the next succeeding Distribution Payment Date, except for the initial Distribution Period, which is the period from, and including, the original issue date of the Series C Preferred Shares, being the date of the completion of the merger, to, but excluding, the next succeeding Distribution Payment Date.</w:t>
      </w:r>
    </w:p>
    <w:p>
      <w:pPr>
        <w:spacing w:after="0" w:line="85" w:lineRule="exact"/>
        <w:rPr>
          <w:sz w:val="20"/>
          <w:szCs w:val="20"/>
          <w:color w:val="auto"/>
        </w:rPr>
      </w:pPr>
    </w:p>
    <w:p>
      <w:pPr>
        <w:jc w:val="both"/>
        <w:ind w:left="400" w:right="419" w:firstLine="351"/>
        <w:spacing w:after="0" w:line="252" w:lineRule="auto"/>
        <w:rPr>
          <w:sz w:val="20"/>
          <w:szCs w:val="20"/>
          <w:color w:val="auto"/>
        </w:rPr>
      </w:pPr>
      <w:r>
        <w:rPr>
          <w:rFonts w:ascii="Times New Roman" w:cs="Times New Roman" w:eastAsia="Times New Roman" w:hAnsi="Times New Roman"/>
          <w:sz w:val="18"/>
          <w:szCs w:val="18"/>
          <w:color w:val="auto"/>
        </w:rPr>
        <w:t>For purposes of calculating the distribution rate for a given Series C Fixed Rate Period, the calculation agent shall determine the “</w:t>
      </w:r>
      <w:r>
        <w:rPr>
          <w:rFonts w:ascii="Times New Roman" w:cs="Times New Roman" w:eastAsia="Times New Roman" w:hAnsi="Times New Roman"/>
          <w:sz w:val="18"/>
          <w:szCs w:val="18"/>
          <w:b w:val="1"/>
          <w:bCs w:val="1"/>
          <w:color w:val="auto"/>
        </w:rPr>
        <w:t>Five-Year Treasury Rate</w:t>
      </w:r>
      <w:r>
        <w:rPr>
          <w:rFonts w:ascii="Times New Roman" w:cs="Times New Roman" w:eastAsia="Times New Roman" w:hAnsi="Times New Roman"/>
          <w:sz w:val="18"/>
          <w:szCs w:val="18"/>
          <w:color w:val="auto"/>
        </w:rPr>
        <w:t>” (for any Reset Period (as defined below) commencing on or after the First Reset Date), based on the rate on the Reset Distribution Determination Date (as defined below) and equal to:</w:t>
      </w:r>
    </w:p>
    <w:p>
      <w:pPr>
        <w:spacing w:after="0" w:line="79" w:lineRule="exact"/>
        <w:rPr>
          <w:sz w:val="20"/>
          <w:szCs w:val="20"/>
          <w:color w:val="auto"/>
        </w:rPr>
      </w:pPr>
    </w:p>
    <w:p>
      <w:pPr>
        <w:ind w:left="1080" w:right="419" w:hanging="335"/>
        <w:spacing w:after="0" w:line="269"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yields to maturity on actively traded U.S. treasury securities adjusted to constant maturity,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2" w:lineRule="exact"/>
        <w:rPr>
          <w:sz w:val="20"/>
          <w:szCs w:val="20"/>
          <w:color w:val="auto"/>
        </w:rPr>
      </w:pPr>
    </w:p>
    <w:p>
      <w:pPr>
        <w:jc w:val="both"/>
        <w:ind w:left="1100" w:right="399"/>
        <w:spacing w:after="0" w:line="252" w:lineRule="auto"/>
        <w:rPr>
          <w:sz w:val="20"/>
          <w:szCs w:val="20"/>
          <w:color w:val="auto"/>
        </w:rPr>
      </w:pPr>
      <w:r>
        <w:rPr>
          <w:rFonts w:ascii="Times New Roman" w:cs="Times New Roman" w:eastAsia="Times New Roman" w:hAnsi="Times New Roman"/>
          <w:sz w:val="18"/>
          <w:szCs w:val="18"/>
          <w:color w:val="auto"/>
        </w:rPr>
        <w:t>for five-year maturities, for the five Business Days appearing under the caption “Treasury Constant Maturities” in the most recently published statistical release designated H.15 Daily Update or any successor publication which is published by the Federal Reserve Board, as determined by the calculation agent in its sole discretion; or</w:t>
      </w:r>
    </w:p>
    <w:p>
      <w:pPr>
        <w:spacing w:after="0" w:line="79" w:lineRule="exact"/>
        <w:rPr>
          <w:sz w:val="20"/>
          <w:szCs w:val="20"/>
          <w:color w:val="auto"/>
        </w:rPr>
      </w:pPr>
    </w:p>
    <w:p>
      <w:pPr>
        <w:jc w:val="both"/>
        <w:ind w:left="1080" w:right="419" w:hanging="335"/>
        <w:spacing w:after="0" w:line="24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calculation is provided as described in clause (i), then the calculation agent, after consulting such sources as it deems comparable to any of the foregoing calculations, or any such source as it deems reasonable from which to estimate the Five-Year Treasury Rate, shall determine the Five-Year Treasury Rate in its sole discretion; provided that if the calculation agent determines there is an industry-accepted successor Five-Year Treasury Rate, then the Calculation Agent shall use such successor rate. If the calculation agent has determined a substitute or successor rate in accordance with the foregoing, the calculation agent, in its sole discretion, may determine the “business day” convention, the definition of “business day” and the Reset Distribution Determination Date to be used and any other relevant methodology for calculating such substitute or successor rate, including any adjustment factor needed to make such substitute or successor rate comparable to the rate described in clause (i), in a manner that is consistent with industry-accepted practices for such substitute or successor rate.</w:t>
      </w:r>
    </w:p>
    <w:p>
      <w:pPr>
        <w:spacing w:after="0" w:line="88" w:lineRule="exact"/>
        <w:rPr>
          <w:sz w:val="20"/>
          <w:szCs w:val="20"/>
          <w:color w:val="auto"/>
        </w:rPr>
      </w:pPr>
    </w:p>
    <w:p>
      <w:pPr>
        <w:jc w:val="both"/>
        <w:ind w:left="400" w:right="399" w:firstLine="351"/>
        <w:spacing w:after="0" w:line="253"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color w:val="auto"/>
        </w:rPr>
        <w:t>Reset Period</w:t>
      </w:r>
      <w:r>
        <w:rPr>
          <w:rFonts w:ascii="Times New Roman" w:cs="Times New Roman" w:eastAsia="Times New Roman" w:hAnsi="Times New Roman"/>
          <w:sz w:val="18"/>
          <w:szCs w:val="18"/>
          <w:color w:val="auto"/>
        </w:rPr>
        <w:t>” means the period from, and including, June 15, 2026 to, but excluding, the fifth-year anniversary of said date, and thereafter from, and including, the fifth-year anniversary of June 15, 2026 but excluding the following fifth-year anniversary of said date (each five-year period, commencing with June 15, 2026, a “Reset Period”).</w:t>
      </w:r>
    </w:p>
    <w:p>
      <w:pPr>
        <w:spacing w:after="0" w:line="76" w:lineRule="exact"/>
        <w:rPr>
          <w:sz w:val="20"/>
          <w:szCs w:val="20"/>
          <w:color w:val="auto"/>
        </w:rPr>
      </w:pPr>
    </w:p>
    <w:p>
      <w:pPr>
        <w:jc w:val="both"/>
        <w:ind w:left="400" w:right="399" w:firstLine="351"/>
        <w:spacing w:after="0" w:line="271"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color w:val="auto"/>
        </w:rPr>
        <w:t>Reset Distribution Determination Date</w:t>
      </w:r>
      <w:r>
        <w:rPr>
          <w:rFonts w:ascii="Times New Roman" w:cs="Times New Roman" w:eastAsia="Times New Roman" w:hAnsi="Times New Roman"/>
          <w:sz w:val="18"/>
          <w:szCs w:val="18"/>
          <w:color w:val="auto"/>
        </w:rPr>
        <w:t>” means, in respect of any Reset Period, the day falling three business days prior to the beginning of such Reset Period.</w:t>
      </w:r>
    </w:p>
    <w:p>
      <w:pPr>
        <w:spacing w:after="0" w:line="62" w:lineRule="exact"/>
        <w:rPr>
          <w:sz w:val="20"/>
          <w:szCs w:val="20"/>
          <w:color w:val="auto"/>
        </w:rPr>
      </w:pPr>
    </w:p>
    <w:p>
      <w:pPr>
        <w:jc w:val="both"/>
        <w:ind w:left="400" w:right="399" w:firstLine="351"/>
        <w:spacing w:after="0" w:line="286" w:lineRule="auto"/>
        <w:rPr>
          <w:sz w:val="20"/>
          <w:szCs w:val="20"/>
          <w:color w:val="auto"/>
        </w:rPr>
      </w:pPr>
      <w:r>
        <w:rPr>
          <w:rFonts w:ascii="Times New Roman" w:cs="Times New Roman" w:eastAsia="Times New Roman" w:hAnsi="Times New Roman"/>
          <w:sz w:val="16"/>
          <w:szCs w:val="16"/>
          <w:color w:val="auto"/>
        </w:rPr>
        <w:t>When, as, and if declared by our board of directors, we pay cash distributions on the Series C Preferred Shares quarterly, in arrears, on each Distribution Payment Date, which payments began on December 15, 2022. We pay cash distributions to the holders of record of Series C Preferred Shares as they appear on our share register on the applicable record date, which for any Distribution Payment Date shall be the 1st calendar day of the month of such Distribution Payment Date or such other record date fixed by our board of directors as the record date for such Distribution Payment Date that is not more than 60 nor less than 10 days prior to such Distribution Payment Date.</w:t>
      </w:r>
    </w:p>
    <w:p>
      <w:pPr>
        <w:spacing w:after="0" w:line="55" w:lineRule="exact"/>
        <w:rPr>
          <w:sz w:val="20"/>
          <w:szCs w:val="20"/>
          <w:color w:val="auto"/>
        </w:rPr>
      </w:pPr>
    </w:p>
    <w:p>
      <w:pPr>
        <w:jc w:val="both"/>
        <w:ind w:left="400" w:right="399" w:firstLine="351"/>
        <w:spacing w:after="0" w:line="284" w:lineRule="auto"/>
        <w:rPr>
          <w:sz w:val="20"/>
          <w:szCs w:val="20"/>
          <w:color w:val="auto"/>
        </w:rPr>
      </w:pPr>
      <w:r>
        <w:rPr>
          <w:rFonts w:ascii="Times New Roman" w:cs="Times New Roman" w:eastAsia="Times New Roman" w:hAnsi="Times New Roman"/>
          <w:sz w:val="16"/>
          <w:szCs w:val="16"/>
          <w:color w:val="auto"/>
        </w:rPr>
        <w:t>Distributions on the Series C Preferred Shares are not mandatory. However, distributions on the Series C Preferred Shares accrue from and including, the most recent Distribution Payment Date on which all accrued distributions have been paid, as applicable, whether or not we have earnings, whether or not there are funds legally available for the payment of those distributions and whether or not those distributions are declared. No interest, or sum in lieu of interest, is payable in respect of any distribution payment or payments on the Series C Preferred Shares which may be in arrears, and holders of the Series C Preferred Shares are not entitled to any distribution, whether payable in cash, property, or shares, in excess of the full cumulative distributions described above.</w:t>
      </w:r>
    </w:p>
    <w:p>
      <w:pPr>
        <w:spacing w:after="0" w:line="57" w:lineRule="exact"/>
        <w:rPr>
          <w:sz w:val="20"/>
          <w:szCs w:val="20"/>
          <w:color w:val="auto"/>
        </w:rPr>
      </w:pPr>
    </w:p>
    <w:p>
      <w:pPr>
        <w:jc w:val="both"/>
        <w:ind w:left="400" w:right="419" w:firstLine="351"/>
        <w:spacing w:after="0" w:line="269" w:lineRule="auto"/>
        <w:rPr>
          <w:sz w:val="20"/>
          <w:szCs w:val="20"/>
          <w:color w:val="auto"/>
        </w:rPr>
      </w:pPr>
      <w:r>
        <w:rPr>
          <w:rFonts w:ascii="Times New Roman" w:cs="Times New Roman" w:eastAsia="Times New Roman" w:hAnsi="Times New Roman"/>
          <w:sz w:val="18"/>
          <w:szCs w:val="18"/>
          <w:color w:val="auto"/>
        </w:rPr>
        <w:t>If in the future we issue additional shares of the Series C Preferred Shares, distributions on those additional shares will accrue from the most recent Distribution Payment Date at the then-applicable distribution rate.</w:t>
      </w:r>
    </w:p>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Priority Regarding Distributions</w:t>
      </w:r>
    </w:p>
    <w:p>
      <w:pPr>
        <w:spacing w:after="0" w:line="113" w:lineRule="exact"/>
        <w:rPr>
          <w:sz w:val="20"/>
          <w:szCs w:val="20"/>
          <w:color w:val="auto"/>
        </w:rPr>
      </w:pPr>
    </w:p>
    <w:p>
      <w:pPr>
        <w:jc w:val="both"/>
        <w:ind w:left="400" w:right="399" w:firstLine="351"/>
        <w:spacing w:after="0" w:line="256" w:lineRule="auto"/>
        <w:rPr>
          <w:sz w:val="20"/>
          <w:szCs w:val="20"/>
          <w:color w:val="auto"/>
        </w:rPr>
      </w:pPr>
      <w:r>
        <w:rPr>
          <w:rFonts w:ascii="Times New Roman" w:cs="Times New Roman" w:eastAsia="Times New Roman" w:hAnsi="Times New Roman"/>
          <w:sz w:val="18"/>
          <w:szCs w:val="18"/>
          <w:color w:val="auto"/>
        </w:rPr>
        <w:t>While any Series C Preferred Shares remain outstanding, unless the full cumulative distributions for all past Distribution Periods on all outstanding Series C Preferred Shares have been or contemporaneously are declared and paid in full or declared and a sum sufficient for the payment of those distributions has been set aside:</w:t>
      </w:r>
    </w:p>
    <w:p>
      <w:pPr>
        <w:spacing w:after="0" w:line="75" w:lineRule="exact"/>
        <w:rPr>
          <w:sz w:val="20"/>
          <w:szCs w:val="20"/>
          <w:color w:val="auto"/>
        </w:rPr>
      </w:pPr>
    </w:p>
    <w:p>
      <w:pPr>
        <w:ind w:left="1080" w:right="419" w:hanging="335"/>
        <w:spacing w:after="0" w:line="269"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distribution will be declared and paid or set aside for payment on any Junior Securities (as defined below) (other than a distribution payable solely in shares of Junior Securities);</w:t>
      </w:r>
    </w:p>
    <w:p>
      <w:pPr>
        <w:spacing w:after="0" w:line="62" w:lineRule="exact"/>
        <w:rPr>
          <w:rFonts w:ascii="Times New Roman" w:cs="Times New Roman" w:eastAsia="Times New Roman" w:hAnsi="Times New Roman"/>
          <w:sz w:val="18"/>
          <w:szCs w:val="18"/>
          <w:color w:val="auto"/>
        </w:rPr>
      </w:pPr>
    </w:p>
    <w:p>
      <w:pPr>
        <w:jc w:val="both"/>
        <w:ind w:left="1080" w:right="419" w:hanging="335"/>
        <w:spacing w:after="0" w:line="247"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Junior Securities will be repurchased, redeemed, or otherwise acquired for consideration by the Company or any of its subsidiaries, directly or indirectly (other than as a result of a reclassification of Junior Securities for or into other Junior Securities, or the exchange for or conversion into Junior Securities, through the use of the proceeds of a substantially contemporaneous sale of other shares of Junior Securities or pursuant to a contractually binding requirement to buy Junior Securities pursuant to a binding agreement existing prior to the original issue date of the Series C Preferred Shares), nor will any monies be paid to or made available for a sinking fund for the redemption of any such securities by the Company or any of its subsidiaries; and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2" w:lineRule="exact"/>
        <w:rPr>
          <w:sz w:val="20"/>
          <w:szCs w:val="20"/>
          <w:color w:val="auto"/>
        </w:rPr>
      </w:pPr>
    </w:p>
    <w:p>
      <w:pPr>
        <w:jc w:val="both"/>
        <w:ind w:left="1080" w:right="419" w:hanging="335"/>
        <w:spacing w:after="0" w:line="250"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Parity Securities will be repurchased, redeemed or otherwise acquired for consideration by the Company or any of its subsidiaries (other than pursuant to pro rata offers to purchase or exchange all, or a pro rata portion of Series C Preferred Shares and such Parity Securities or as a result of a reclassification of Parity Securities for or into other Parity Securities, or by conversion into or exchange for other Parity Securities or Junior Securities).</w:t>
      </w:r>
    </w:p>
    <w:p>
      <w:pPr>
        <w:spacing w:after="0" w:line="81"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The foregoing limitations do not apply to (i) purchases or acquisitions of, or cash settlement in respect of, Junior Securities pursuant to any employee or director incentive or benefit plan or arrangement (including any of our employment, severance or consulting agreements) of ours or of any of our subsidiaries and (ii) any distribution in connection with the implementation of a shareholder rights plan or the redemption or repurchase of any rights under such a plan, including with respect to any successor shareholder rights plan.</w:t>
      </w:r>
    </w:p>
    <w:p>
      <w:pPr>
        <w:spacing w:after="0" w:line="81"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Accumulated distributions in arrears for any past Distribution Period may be declared by the board of directors and paid on any date fixed by the board of directors, whether or not a Distribution Payment Date, to holders of the Series C Preferred Shares on the record date for such payment, which may not be less than 10 days before such distribution. To the extent a distribution period applicable to a class of Junior Securities or Parity Securities is shorter than the Distribution Period applicable to the Series C Preferred Shares (e.g., monthly rather than quarterly), the board of directors may declare and pay regular distributions with respect to such Junior Securities or Parity Securities so long as, at the time of declaration of such distribution, the board of directors expects to have sufficient funds to pay the full cumulative distributions in respect of the Series C Preferred Shares on the next Distribution Payment Date.</w:t>
      </w:r>
    </w:p>
    <w:p>
      <w:pPr>
        <w:spacing w:after="0" w:line="85"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Subject to the next succeeding sentence, if all accumulated distributions in arrears on all outstanding Series C Preferred Shares and any Parity Securities have not been declared and paid, or sufficient funds for the payment thereof have not been set apart, payment of accumulated distributions in arrears will be made in order of their respective distribution payment dates, commencing with the earliest distribution payment date. If less than all distributions payable with respect to all Series C Preferred Shares and any Parity Securities are paid, any partial payment will be made pro rata with respect to the Series C Preferred Shares and any Parity Securities entitled to a distribution payment at such time in proportion to the aggregate amounts remaining due in respect of such Series C Preferred Shares and Parity Securities at such time.</w:t>
      </w:r>
    </w:p>
    <w:p>
      <w:pPr>
        <w:spacing w:after="0" w:line="85" w:lineRule="exact"/>
        <w:rPr>
          <w:sz w:val="20"/>
          <w:szCs w:val="20"/>
          <w:color w:val="auto"/>
        </w:rPr>
      </w:pPr>
    </w:p>
    <w:p>
      <w:pPr>
        <w:jc w:val="both"/>
        <w:ind w:left="400" w:right="399" w:firstLine="351"/>
        <w:spacing w:after="0" w:line="248" w:lineRule="auto"/>
        <w:rPr>
          <w:sz w:val="20"/>
          <w:szCs w:val="20"/>
          <w:color w:val="auto"/>
        </w:rPr>
      </w:pPr>
      <w:r>
        <w:rPr>
          <w:rFonts w:ascii="Times New Roman" w:cs="Times New Roman" w:eastAsia="Times New Roman" w:hAnsi="Times New Roman"/>
          <w:sz w:val="18"/>
          <w:szCs w:val="18"/>
          <w:color w:val="auto"/>
        </w:rPr>
        <w:t>As used in this description of Series C Preferred Shares, (i) “</w:t>
      </w:r>
      <w:r>
        <w:rPr>
          <w:rFonts w:ascii="Times New Roman" w:cs="Times New Roman" w:eastAsia="Times New Roman" w:hAnsi="Times New Roman"/>
          <w:sz w:val="18"/>
          <w:szCs w:val="18"/>
          <w:b w:val="1"/>
          <w:bCs w:val="1"/>
          <w:color w:val="auto"/>
        </w:rPr>
        <w:t>Junior Securities</w:t>
      </w:r>
      <w:r>
        <w:rPr>
          <w:rFonts w:ascii="Times New Roman" w:cs="Times New Roman" w:eastAsia="Times New Roman" w:hAnsi="Times New Roman"/>
          <w:sz w:val="18"/>
          <w:szCs w:val="18"/>
          <w:color w:val="auto"/>
        </w:rPr>
        <w:t>” means our ordinary shares and any other class or series of our share capital over which the Series C Preferred Shares has preference or priority in the payment of distributions or in the distribution of assets on our liquidation, dissolution or winding up, (ii) “</w:t>
      </w:r>
      <w:r>
        <w:rPr>
          <w:rFonts w:ascii="Times New Roman" w:cs="Times New Roman" w:eastAsia="Times New Roman" w:hAnsi="Times New Roman"/>
          <w:sz w:val="18"/>
          <w:szCs w:val="18"/>
          <w:b w:val="1"/>
          <w:bCs w:val="1"/>
          <w:color w:val="auto"/>
        </w:rPr>
        <w:t>Parity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any other class or series of our share capital that ranks equally with the Series C Preferred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payment of distributions and in the distribution of assets on our liquidation, dissolution or winding up (including our Series D Preferred Shares) and (iii) “</w:t>
      </w:r>
      <w:r>
        <w:rPr>
          <w:rFonts w:ascii="Times New Roman" w:cs="Times New Roman" w:eastAsia="Times New Roman" w:hAnsi="Times New Roman"/>
          <w:sz w:val="18"/>
          <w:szCs w:val="18"/>
          <w:b w:val="1"/>
          <w:bCs w:val="1"/>
          <w:color w:val="auto"/>
        </w:rPr>
        <w:t>Senior Securities</w:t>
      </w:r>
      <w:r>
        <w:rPr>
          <w:rFonts w:ascii="Times New Roman" w:cs="Times New Roman" w:eastAsia="Times New Roman" w:hAnsi="Times New Roman"/>
          <w:sz w:val="18"/>
          <w:szCs w:val="18"/>
          <w:color w:val="auto"/>
        </w:rPr>
        <w:t>” means any other class or series of our share capital that has preference or priority over the Series C Preferred Shares in the payment of distributions or in the distribution of assets on our liquidation, dissolution or winding up.</w:t>
      </w:r>
    </w:p>
    <w:p>
      <w:pPr>
        <w:spacing w:after="0" w:line="83" w:lineRule="exact"/>
        <w:rPr>
          <w:sz w:val="20"/>
          <w:szCs w:val="20"/>
          <w:color w:val="auto"/>
        </w:rPr>
      </w:pPr>
    </w:p>
    <w:p>
      <w:pPr>
        <w:jc w:val="both"/>
        <w:ind w:left="400" w:right="399" w:firstLine="351"/>
        <w:spacing w:after="0" w:line="252" w:lineRule="auto"/>
        <w:rPr>
          <w:sz w:val="20"/>
          <w:szCs w:val="20"/>
          <w:color w:val="auto"/>
        </w:rPr>
      </w:pPr>
      <w:r>
        <w:rPr>
          <w:rFonts w:ascii="Times New Roman" w:cs="Times New Roman" w:eastAsia="Times New Roman" w:hAnsi="Times New Roman"/>
          <w:sz w:val="18"/>
          <w:szCs w:val="18"/>
          <w:color w:val="auto"/>
        </w:rPr>
        <w:t>Subject to the conditions described above, and not otherwise, distributions (payable in cash, shares, or otherwise), as may be determined by our board of directors, may be declared and paid on our ordinary shares and any other Junior Securities from time to time out of any funds legally available for such payment, and the holders of the Series C Preferred Shares will not be entitled to participate in those distributions.</w:t>
      </w:r>
    </w:p>
    <w:p>
      <w:pPr>
        <w:spacing w:after="0" w:line="3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13"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Upon our voluntary or involuntary Liquidation, the holders of the outstanding Series C Preferred Shares are entitled to be paid out of our assets legally available for distribution to our shareholders, before any distribution of assets is made to holders of ordinary shares or any other Junior Securities, a liquidating distribution in the amount of a liquidation preference of $25.00 per share, plus an amount equal to accumulated and unpaid distributions thereon, if any, to, but excluding, the date of such liquidating distribution, whether or not declared, plus the sum of any declared and unpaid distributions for Distribution Periods prior to the Distribution Period in which the liquidating distribution is made and any declared and unpaid distributions for the then current Distribution Period in which the liquidating distribution is made to the date of such liquidating distribution. After payment of the full amount of the liquidating distributions to which they are entitled, the holders of Series C Preferred Shares will have no right or claim to any of our remaining assets.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17" w:name="page18"/>
    <w:bookmarkEnd w:id="1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Conversion; Exchange and Preemptive Rights</w:t>
      </w:r>
    </w:p>
    <w:p>
      <w:pPr>
        <w:spacing w:after="0" w:line="113" w:lineRule="exact"/>
        <w:rPr>
          <w:sz w:val="20"/>
          <w:szCs w:val="20"/>
          <w:color w:val="auto"/>
        </w:rPr>
      </w:pPr>
    </w:p>
    <w:p>
      <w:pPr>
        <w:jc w:val="both"/>
        <w:ind w:left="400" w:right="419" w:firstLine="351"/>
        <w:spacing w:after="0" w:line="256" w:lineRule="auto"/>
        <w:rPr>
          <w:sz w:val="20"/>
          <w:szCs w:val="20"/>
          <w:color w:val="auto"/>
        </w:rPr>
      </w:pPr>
      <w:r>
        <w:rPr>
          <w:rFonts w:ascii="Times New Roman" w:cs="Times New Roman" w:eastAsia="Times New Roman" w:hAnsi="Times New Roman"/>
          <w:sz w:val="18"/>
          <w:szCs w:val="18"/>
          <w:color w:val="auto"/>
        </w:rPr>
        <w:t>The Series C Preferred Shares are not entitled to any preemptive rights or other rights to purchase or subscribe for our ordinary shares or any other security, and are not convertible into or exchangeable for our ordinary shares or any other security or property at the option of the holder.</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13" w:lineRule="exact"/>
        <w:rPr>
          <w:sz w:val="20"/>
          <w:szCs w:val="20"/>
          <w:color w:val="auto"/>
        </w:rPr>
      </w:pPr>
    </w:p>
    <w:p>
      <w:pPr>
        <w:jc w:val="both"/>
        <w:ind w:left="400" w:right="419" w:firstLine="351"/>
        <w:spacing w:after="0" w:line="269" w:lineRule="auto"/>
        <w:rPr>
          <w:sz w:val="20"/>
          <w:szCs w:val="20"/>
          <w:color w:val="auto"/>
        </w:rPr>
      </w:pPr>
      <w:r>
        <w:rPr>
          <w:rFonts w:ascii="Times New Roman" w:cs="Times New Roman" w:eastAsia="Times New Roman" w:hAnsi="Times New Roman"/>
          <w:sz w:val="18"/>
          <w:szCs w:val="18"/>
          <w:color w:val="auto"/>
        </w:rPr>
        <w:t>The Series C Preferred Shares are not subject to any mandatory redemption, sinking fund or other similar provisions.</w:t>
      </w:r>
    </w:p>
    <w:p>
      <w:pPr>
        <w:spacing w:after="0" w:line="63" w:lineRule="exact"/>
        <w:rPr>
          <w:sz w:val="20"/>
          <w:szCs w:val="20"/>
          <w:color w:val="auto"/>
        </w:rPr>
      </w:pPr>
    </w:p>
    <w:p>
      <w:pPr>
        <w:jc w:val="both"/>
        <w:ind w:left="400" w:right="399" w:firstLine="351"/>
        <w:spacing w:after="0" w:line="269" w:lineRule="auto"/>
        <w:rPr>
          <w:sz w:val="20"/>
          <w:szCs w:val="20"/>
          <w:color w:val="auto"/>
        </w:rPr>
      </w:pPr>
      <w:r>
        <w:rPr>
          <w:rFonts w:ascii="Times New Roman" w:cs="Times New Roman" w:eastAsia="Times New Roman" w:hAnsi="Times New Roman"/>
          <w:sz w:val="18"/>
          <w:szCs w:val="18"/>
          <w:color w:val="auto"/>
        </w:rPr>
        <w:t>Holders of Series C Preferred Shares do not have the right to require the redemption or repurchase of the Series C Preferred Shares.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Optional Redemption on or after June 15, 2026</w:t>
      </w:r>
    </w:p>
    <w:p>
      <w:pPr>
        <w:spacing w:after="0" w:line="111" w:lineRule="exact"/>
        <w:rPr>
          <w:sz w:val="20"/>
          <w:szCs w:val="20"/>
          <w:color w:val="auto"/>
        </w:rPr>
      </w:pPr>
    </w:p>
    <w:p>
      <w:pPr>
        <w:jc w:val="both"/>
        <w:ind w:left="400" w:right="399" w:firstLine="351"/>
        <w:spacing w:after="0" w:line="249" w:lineRule="auto"/>
        <w:rPr>
          <w:sz w:val="20"/>
          <w:szCs w:val="20"/>
          <w:color w:val="auto"/>
        </w:rPr>
      </w:pPr>
      <w:r>
        <w:rPr>
          <w:rFonts w:ascii="Times New Roman" w:cs="Times New Roman" w:eastAsia="Times New Roman" w:hAnsi="Times New Roman"/>
          <w:sz w:val="18"/>
          <w:szCs w:val="18"/>
          <w:color w:val="auto"/>
        </w:rPr>
        <w:t>We may redeem the Series C Preferred Shares, in whole or in part, at our option, at any time or from time to time on or after June 15, 2026 (“</w:t>
      </w:r>
      <w:r>
        <w:rPr>
          <w:rFonts w:ascii="Times New Roman" w:cs="Times New Roman" w:eastAsia="Times New Roman" w:hAnsi="Times New Roman"/>
          <w:sz w:val="18"/>
          <w:szCs w:val="18"/>
          <w:b w:val="1"/>
          <w:bCs w:val="1"/>
          <w:color w:val="auto"/>
        </w:rPr>
        <w:t>Series C Optional Redemption</w:t>
      </w:r>
      <w:r>
        <w:rPr>
          <w:rFonts w:ascii="Times New Roman" w:cs="Times New Roman" w:eastAsia="Times New Roman" w:hAnsi="Times New Roman"/>
          <w:sz w:val="18"/>
          <w:szCs w:val="18"/>
          <w:color w:val="auto"/>
        </w:rPr>
        <w:t>”), at the redemption price equal to $25.00 per Series C Preferred Share, plus an amount equal to all accumulated and unpaid distributions thereon, if any, to, but excluding, the date of redemption, whether or not declared. We may undertake multiple Series C Optional Redemptions. Any such redemption would be effected only out of funds legally available for such purpose and would be subject to compliance with the provisions of the instruments governing our outstanding indebtedness.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Optional Redemption upon a Rating Event</w:t>
      </w:r>
    </w:p>
    <w:p>
      <w:pPr>
        <w:spacing w:after="0" w:line="111" w:lineRule="exact"/>
        <w:rPr>
          <w:sz w:val="20"/>
          <w:szCs w:val="20"/>
          <w:color w:val="auto"/>
        </w:rPr>
      </w:pPr>
    </w:p>
    <w:p>
      <w:pPr>
        <w:jc w:val="both"/>
        <w:ind w:left="400" w:right="399" w:firstLine="351"/>
        <w:spacing w:after="0" w:line="248" w:lineRule="auto"/>
        <w:rPr>
          <w:sz w:val="20"/>
          <w:szCs w:val="20"/>
          <w:color w:val="auto"/>
        </w:rPr>
      </w:pPr>
      <w:r>
        <w:rPr>
          <w:rFonts w:ascii="Times New Roman" w:cs="Times New Roman" w:eastAsia="Times New Roman" w:hAnsi="Times New Roman"/>
          <w:sz w:val="18"/>
          <w:szCs w:val="18"/>
          <w:color w:val="auto"/>
        </w:rPr>
        <w:t>At any time within 120 days after the conclusion of any review or appeal process instituted by us following the occurrence of a Series C Rating Event (as defined below), we may, at our option, redeem the Series C Preferred Shares in whole, but not in part, prior to June 15, 2026, at a redemption price per Series C Preferred Share equal to $25.50 (102% of the liquidation preference of $25.00), plus an amount equal to all accumulated and unpaid distributions thereon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82" w:lineRule="exact"/>
        <w:rPr>
          <w:sz w:val="20"/>
          <w:szCs w:val="20"/>
          <w:color w:val="auto"/>
        </w:rPr>
      </w:pPr>
    </w:p>
    <w:p>
      <w:pPr>
        <w:jc w:val="both"/>
        <w:ind w:left="400" w:right="419" w:firstLine="351"/>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C Rating Event</w:t>
      </w:r>
      <w:r>
        <w:rPr>
          <w:rFonts w:ascii="Times New Roman" w:cs="Times New Roman" w:eastAsia="Times New Roman" w:hAnsi="Times New Roman"/>
          <w:sz w:val="18"/>
          <w:szCs w:val="18"/>
          <w:color w:val="auto"/>
        </w:rPr>
        <w:t>” means a change by any rating agency to the criteria employed by such rating agency as of March 25, 2021 for purposes of assigning ratings to securities with features similar to the Series C Preferred Shares, which change results in (i) any shortening of the length of time for which the criteria in effect as of March 25, 2021 are scheduled to be in effect with respect to the Series C Preferred Shares, or (ii) a lower equity credit being given to the Series C Preferred Shares than the equity credit that would have been assigned to the Series C Preferred Shares by such rating agency pursuant to the criteria in effect as of March 25, 2021.</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Optional Redemption upon a Change of Control</w:t>
      </w:r>
    </w:p>
    <w:p>
      <w:pPr>
        <w:spacing w:after="0" w:line="111" w:lineRule="exact"/>
        <w:rPr>
          <w:sz w:val="20"/>
          <w:szCs w:val="20"/>
          <w:color w:val="auto"/>
        </w:rPr>
      </w:pPr>
    </w:p>
    <w:p>
      <w:pPr>
        <w:jc w:val="both"/>
        <w:ind w:left="400" w:right="399" w:firstLine="351"/>
        <w:spacing w:after="0" w:line="249" w:lineRule="auto"/>
        <w:rPr>
          <w:sz w:val="20"/>
          <w:szCs w:val="20"/>
          <w:color w:val="auto"/>
        </w:rPr>
      </w:pPr>
      <w:r>
        <w:rPr>
          <w:rFonts w:ascii="Times New Roman" w:cs="Times New Roman" w:eastAsia="Times New Roman" w:hAnsi="Times New Roman"/>
          <w:sz w:val="18"/>
          <w:szCs w:val="18"/>
          <w:color w:val="auto"/>
        </w:rPr>
        <w:t>If a Change of Control (as defined in the Series C Share Designation) occurs, we may, at our option, redeem the Series C Preferred Shares, in whole but not in part, prior to June 15, 2026 and within 60 days after the occurrence of such Change of Control, at a price of $25.25 per Series C Preferred Share, plus an amount equal to all accumulated and unpaid distributions thereon, if any,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82" w:lineRule="exact"/>
        <w:rPr>
          <w:sz w:val="20"/>
          <w:szCs w:val="20"/>
          <w:color w:val="auto"/>
        </w:rPr>
      </w:pPr>
    </w:p>
    <w:p>
      <w:pPr>
        <w:jc w:val="both"/>
        <w:ind w:left="400" w:right="399" w:firstLine="351"/>
        <w:spacing w:after="0" w:line="252" w:lineRule="auto"/>
        <w:rPr>
          <w:sz w:val="20"/>
          <w:szCs w:val="20"/>
          <w:color w:val="auto"/>
        </w:rPr>
      </w:pPr>
      <w:r>
        <w:rPr>
          <w:rFonts w:ascii="Times New Roman" w:cs="Times New Roman" w:eastAsia="Times New Roman" w:hAnsi="Times New Roman"/>
          <w:sz w:val="18"/>
          <w:szCs w:val="18"/>
          <w:color w:val="auto"/>
        </w:rPr>
        <w:t>If (i) a Change of Control occurs (whether before, on or after June 15, 2026) and (ii) we do not give notice prior to the 31st day following the Change of Control to redeem all of the outstanding Series C Preferred Shares, the distribution rate per annum on the Series C Preferred Shares will increase by 500 basis points, beginning on the 31st day following such Change of Control.</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Optional Redemption upon a Tax Redemption Event</w:t>
      </w:r>
    </w:p>
    <w:p>
      <w:pPr>
        <w:spacing w:after="0" w:line="111" w:lineRule="exact"/>
        <w:rPr>
          <w:sz w:val="20"/>
          <w:szCs w:val="20"/>
          <w:color w:val="auto"/>
        </w:rPr>
      </w:pPr>
    </w:p>
    <w:p>
      <w:pPr>
        <w:jc w:val="both"/>
        <w:ind w:left="400" w:right="399" w:firstLine="351"/>
        <w:spacing w:after="0" w:line="248" w:lineRule="auto"/>
        <w:rPr>
          <w:sz w:val="20"/>
          <w:szCs w:val="20"/>
          <w:color w:val="auto"/>
        </w:rPr>
      </w:pPr>
      <w:r>
        <w:rPr>
          <w:rFonts w:ascii="Times New Roman" w:cs="Times New Roman" w:eastAsia="Times New Roman" w:hAnsi="Times New Roman"/>
          <w:sz w:val="18"/>
          <w:szCs w:val="18"/>
          <w:color w:val="auto"/>
        </w:rPr>
        <w:t>If a Series C Tax Redemption Event (as defined in the Series C Share Designation) occurs, we may, at our option, redeem the Series C Preferred Shares, in whole but not in part, prior to June 15, 2026, and within 60 days after the occurrence of such Series C Tax Redemption Event, at a price of $25.25 per Series C Preferred Share, plus an amount equal to all accumulated and unpaid distributions thereon, if any,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18" w:name="page19"/>
    <w:bookmarkEnd w:id="1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13" w:lineRule="exact"/>
        <w:rPr>
          <w:sz w:val="20"/>
          <w:szCs w:val="20"/>
          <w:color w:val="auto"/>
        </w:rPr>
      </w:pPr>
    </w:p>
    <w:p>
      <w:pPr>
        <w:jc w:val="both"/>
        <w:ind w:left="400" w:right="399" w:firstLine="351"/>
        <w:spacing w:after="0" w:line="249" w:lineRule="auto"/>
        <w:rPr>
          <w:sz w:val="20"/>
          <w:szCs w:val="20"/>
          <w:color w:val="auto"/>
        </w:rPr>
      </w:pPr>
      <w:r>
        <w:rPr>
          <w:rFonts w:ascii="Times New Roman" w:cs="Times New Roman" w:eastAsia="Times New Roman" w:hAnsi="Times New Roman"/>
          <w:sz w:val="18"/>
          <w:szCs w:val="18"/>
          <w:color w:val="auto"/>
        </w:rPr>
        <w:t>Owners of Series C Preferred Shares do not have any voting rights, except as set forth below or as otherwise required by applicable law. To the extent that owners of Series C Preferred Shares are entitled to vote, each holder of Series C Preferred Shares will have one vote per share, except that when shares of any class or series of Parity Securities have the right to vote with the Series C Preferred Shares as a single class on any matter, the Series C Preferred Shares and the shares of each such Parity Securities will have one vote for each $25.00 of liquidation preference (for the avoidance of doubt, excluding accumulated distributions).</w:t>
      </w:r>
    </w:p>
    <w:p>
      <w:pPr>
        <w:spacing w:after="0" w:line="82" w:lineRule="exact"/>
        <w:rPr>
          <w:sz w:val="20"/>
          <w:szCs w:val="20"/>
          <w:color w:val="auto"/>
        </w:rPr>
      </w:pPr>
    </w:p>
    <w:p>
      <w:pPr>
        <w:jc w:val="both"/>
        <w:ind w:left="400" w:right="399" w:firstLine="351"/>
        <w:spacing w:after="0" w:line="277" w:lineRule="auto"/>
        <w:rPr>
          <w:sz w:val="20"/>
          <w:szCs w:val="20"/>
          <w:color w:val="auto"/>
        </w:rPr>
      </w:pPr>
      <w:r>
        <w:rPr>
          <w:rFonts w:ascii="Times New Roman" w:cs="Times New Roman" w:eastAsia="Times New Roman" w:hAnsi="Times New Roman"/>
          <w:sz w:val="16"/>
          <w:szCs w:val="16"/>
          <w:color w:val="auto"/>
        </w:rPr>
        <w:t>Whenever dividends on any shares of the Series C Preferred Shares are in arrears for six or more quarterly Distribution Periods, whether or not consecutive, the upper limit of the number of directors then constituting our board of directors will be automatically increased by two (if not already increased by two by reason of the election of directors by the holders of any Other Voting Preferred Shares (as defined below) and the holders of Series C Preferred Shares, voting together as a single class). The holders of the Series C Preferred Shares, voting together as a single class with the holders of any series of Parity Securities then outstanding upon which like voting rights have been conferred and are exercisable (any such series, the “</w:t>
      </w:r>
      <w:r>
        <w:rPr>
          <w:rFonts w:ascii="Times New Roman" w:cs="Times New Roman" w:eastAsia="Times New Roman" w:hAnsi="Times New Roman"/>
          <w:sz w:val="16"/>
          <w:szCs w:val="16"/>
          <w:b w:val="1"/>
          <w:bCs w:val="1"/>
          <w:color w:val="auto"/>
        </w:rPr>
        <w:t>Other Voting Preferred Shares</w:t>
      </w:r>
      <w:r>
        <w:rPr>
          <w:rFonts w:ascii="Times New Roman" w:cs="Times New Roman" w:eastAsia="Times New Roman" w:hAnsi="Times New Roman"/>
          <w:sz w:val="16"/>
          <w:szCs w:val="16"/>
          <w:color w:val="auto"/>
        </w:rPr>
        <w:t>”), will be entitled to vote, by the affirmative vote of a majority of the votes entitled to be cast, for the appointment of two additional directors at a special meeting of the holders of the Series C Preferred Shares and such Other Voting Preferred Shares and at each subsequent annual meeting of the holders of our ordinary shares at which such directors are up for re-appointment; provided that when all distributions accumulated on the Series C Preferred Shares for all past Distribution Periods and the then current Distribution Period shall have been fully paid, the right of holders of the Series C Preferred Shares to appoint any directors will cease and, unless there are any Other Voting Preferred Shares entitled to vote for the election of directors, the term of office of those two directors will forthwith terminate, the office of any directors appointed by holders of the Series C Preferred Shares shall automatically be vacated and the upper limit of the number of directors constituting the board of directors shall be automatically reduced by two. However, the right of the holders of the Series C Preferred Shares and any Other Voting Preferred Shares to appoint two additional directors will again vest if and whenever six additional quarterly distributions have not been declared and paid, as described above. In no event shall the holders of the Series C Preferred Shares be entitled pursuant to these voting rights to elect a director that would cause us to fail to satisfy a requirement relating to director independence of any national securities exchange or quotation system on which any class or series of our share capital is listed or quoted. For the avoidance of doubt, in no event shall the total number of directors elected by holders of the Series C Preferred Shares and any Other Voting Preferred Shares exceed two.</w:t>
      </w:r>
    </w:p>
    <w:p>
      <w:pPr>
        <w:spacing w:after="0" w:line="200" w:lineRule="exact"/>
        <w:rPr>
          <w:sz w:val="20"/>
          <w:szCs w:val="20"/>
          <w:color w:val="auto"/>
        </w:rPr>
      </w:pPr>
    </w:p>
    <w:p>
      <w:pPr>
        <w:spacing w:after="0" w:line="294" w:lineRule="exact"/>
        <w:rPr>
          <w:sz w:val="20"/>
          <w:szCs w:val="20"/>
          <w:color w:val="auto"/>
        </w:rPr>
      </w:pPr>
    </w:p>
    <w:p>
      <w:pPr>
        <w:jc w:val="both"/>
        <w:ind w:left="400" w:right="399" w:firstLine="351"/>
        <w:spacing w:after="0" w:line="278" w:lineRule="auto"/>
        <w:rPr>
          <w:sz w:val="20"/>
          <w:szCs w:val="20"/>
          <w:color w:val="auto"/>
        </w:rPr>
      </w:pPr>
      <w:r>
        <w:rPr>
          <w:rFonts w:ascii="Times New Roman" w:cs="Times New Roman" w:eastAsia="Times New Roman" w:hAnsi="Times New Roman"/>
          <w:sz w:val="16"/>
          <w:szCs w:val="16"/>
          <w:color w:val="auto"/>
        </w:rPr>
        <w:t>While any Series C Preferred Shares remain outstanding, the following actions will be deemed a variation of the rights of the Series C Preferred Shares and all Other Voting Preferred Shares, acting as a single class, (i) authorize, create or issue any Senior Securities or reclassify any authorized share capital into any Senior Securities or issue any obligation or security convertible into or evidencing the right to purchase any Senior Securities or (ii) amend, alter or repeal any provision of the Articles, including by merger, consolidation or otherwise, so as to adversely affect the powers, preferences or special rights of the Series C Preferred Shares, and shall in each case of clause (i) and (ii) require the approval of the holders of the Series C Preferred Shares and all Other Voting Preferred Shares in accordance with and following the procedures set out in the Articles; provided that in the case of the foregoing clause (ii), if such amendment affects materially and adversely the rights, designations, preferences, powers and duties of one or more but not all of the classes or series of the Other Voting Preferred Shares (including the Series C Preferred Shares for this purpose), the holders of the outstanding shares of the classes or series so affected, voting as a class, is required in lieu of (or, if such consent is required by law, in addition to) the consent of the holders of the Other Voting Preferred Shares (including the Series C Preferred Shares for this purpose) in accordance with and following the procedures set out in the Articles. However, we may create additional series or classes of Parity Securities and Junior Securities and issue additional classes or series of Parity Securities and Junior Securities without notice to or the consent of any holder of the Series C Preferred Shares; provided, however</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that, in the case of Parity Securities, the full cumulative distributions for all past Distribution Periods on all outstanding Series C Preferred Shares shall have been or contemporaneously are declared and paid in full or declared and a sum sufficient for the payment of those distributions has been set aside.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2" w:lineRule="exact"/>
        <w:rPr>
          <w:sz w:val="20"/>
          <w:szCs w:val="20"/>
          <w:color w:val="auto"/>
        </w:rPr>
      </w:pPr>
    </w:p>
    <w:p>
      <w:pPr>
        <w:ind w:left="400" w:right="399" w:firstLine="351"/>
        <w:spacing w:after="0" w:line="269" w:lineRule="auto"/>
        <w:rPr>
          <w:sz w:val="20"/>
          <w:szCs w:val="20"/>
          <w:color w:val="auto"/>
        </w:rPr>
      </w:pPr>
      <w:r>
        <w:rPr>
          <w:rFonts w:ascii="Times New Roman" w:cs="Times New Roman" w:eastAsia="Times New Roman" w:hAnsi="Times New Roman"/>
          <w:sz w:val="18"/>
          <w:szCs w:val="18"/>
          <w:color w:val="auto"/>
        </w:rPr>
        <w:t>Notwithstanding the foregoing, none of the following will be deemed to affect the powers, preferences or special rights of the Series C Preferred Shares:</w:t>
      </w:r>
    </w:p>
    <w:p>
      <w:pPr>
        <w:spacing w:after="0" w:line="63" w:lineRule="exact"/>
        <w:rPr>
          <w:sz w:val="20"/>
          <w:szCs w:val="20"/>
          <w:color w:val="auto"/>
        </w:rPr>
      </w:pPr>
    </w:p>
    <w:p>
      <w:pPr>
        <w:jc w:val="both"/>
        <w:ind w:left="1080" w:right="419" w:hanging="335"/>
        <w:spacing w:after="0" w:line="250"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the amount of authorized ordinary shares or authorized preferred shares, or any increase or decrease in the number of shares of any series of preferred shares, or the authorization, creation and issuance of other classes or series of share capital, in each case ranking on parity with or junior to the Series C Preferred Shares as to distributions or distribution of assets upon our liquidation, dissolution or winding up;</w:t>
      </w:r>
    </w:p>
    <w:p>
      <w:pPr>
        <w:spacing w:after="0" w:line="81" w:lineRule="exact"/>
        <w:rPr>
          <w:rFonts w:ascii="Times New Roman" w:cs="Times New Roman" w:eastAsia="Times New Roman" w:hAnsi="Times New Roman"/>
          <w:sz w:val="18"/>
          <w:szCs w:val="18"/>
          <w:color w:val="auto"/>
        </w:rPr>
      </w:pPr>
    </w:p>
    <w:p>
      <w:pPr>
        <w:ind w:left="1080" w:right="419" w:hanging="335"/>
        <w:spacing w:after="0" w:line="332" w:lineRule="auto"/>
        <w:tabs>
          <w:tab w:leader="none" w:pos="10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merger or consolidation of us with or into another entity in which the Series C Preferred Shares remain outstanding with identical terms as existing immediately prior to such merger or consolidation; and</w:t>
      </w:r>
    </w:p>
    <w:p>
      <w:pPr>
        <w:spacing w:after="0" w:line="17" w:lineRule="exact"/>
        <w:rPr>
          <w:rFonts w:ascii="Times New Roman" w:cs="Times New Roman" w:eastAsia="Times New Roman" w:hAnsi="Times New Roman"/>
          <w:sz w:val="16"/>
          <w:szCs w:val="16"/>
          <w:color w:val="auto"/>
        </w:rPr>
      </w:pPr>
    </w:p>
    <w:p>
      <w:pPr>
        <w:jc w:val="both"/>
        <w:ind w:left="1080" w:right="419" w:hanging="335"/>
        <w:spacing w:after="0" w:line="25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of us with or into another entity in which the Series C Preferred Shares are converted into or exchanged for preference securities of the surviving entity or any entity, directly or indirectly, controlling such surviving entity and such new preference securities have terms identical (other than the identity of the issuer) to the terms of the Series C Preferred Shares.</w:t>
      </w:r>
    </w:p>
    <w:p>
      <w:pPr>
        <w:spacing w:after="0" w:line="79" w:lineRule="exact"/>
        <w:rPr>
          <w:sz w:val="20"/>
          <w:szCs w:val="20"/>
          <w:color w:val="auto"/>
        </w:rPr>
      </w:pPr>
    </w:p>
    <w:p>
      <w:pPr>
        <w:jc w:val="both"/>
        <w:ind w:left="400" w:right="399" w:firstLine="351"/>
        <w:spacing w:after="0" w:line="252" w:lineRule="auto"/>
        <w:rPr>
          <w:sz w:val="20"/>
          <w:szCs w:val="20"/>
          <w:color w:val="auto"/>
        </w:rPr>
      </w:pPr>
      <w:r>
        <w:rPr>
          <w:rFonts w:ascii="Times New Roman" w:cs="Times New Roman" w:eastAsia="Times New Roman" w:hAnsi="Times New Roman"/>
          <w:sz w:val="18"/>
          <w:szCs w:val="18"/>
          <w:color w:val="auto"/>
        </w:rPr>
        <w:t>The foregoing voting rights of the holders of Series C Preferred Shares shall not apply if, at or prior to the time when the act with respect to which the vote would otherwise be required shall be effected, all outstanding Series C Preferred Shares shall have been redeemed or called for redemption upon proper notice and we shall have set aside sufficient funds for the benefit of holders of Series C Preferred Shares to effect the redemption.</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Forum Selection</w:t>
      </w:r>
    </w:p>
    <w:p>
      <w:pPr>
        <w:spacing w:after="0" w:line="113" w:lineRule="exact"/>
        <w:rPr>
          <w:sz w:val="20"/>
          <w:szCs w:val="20"/>
          <w:color w:val="auto"/>
        </w:rPr>
      </w:pPr>
    </w:p>
    <w:p>
      <w:pPr>
        <w:jc w:val="both"/>
        <w:ind w:left="400" w:right="399" w:firstLine="351"/>
        <w:spacing w:after="0" w:line="249" w:lineRule="auto"/>
        <w:rPr>
          <w:sz w:val="20"/>
          <w:szCs w:val="20"/>
          <w:color w:val="auto"/>
        </w:rPr>
      </w:pPr>
      <w:r>
        <w:rPr>
          <w:rFonts w:ascii="Times New Roman" w:cs="Times New Roman" w:eastAsia="Times New Roman" w:hAnsi="Times New Roman"/>
          <w:sz w:val="18"/>
          <w:szCs w:val="18"/>
          <w:color w:val="auto"/>
        </w:rPr>
        <w:t>The Articles provide for submission to the exclusive jurisdiction of the courts of the Cayman Islands in connection with any claim or dispute arising out of or in connection with the constitutional documents of the Company or otherwise related in any way to each Company shareholder’s shareholding in the Company, other than any action or suits brought to enforce any liability or duty created by the Securities Act, the Exchange Act, or any claim for which the federal district courts of the United States of America are, as a matter of the laws of the United States, the sole and exclusive forum for determination of such a claim.</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Series D Preferred Shares</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13"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The Articles authorize the Company to issue up to 200,000,000 preferred shares in one or more series, and the Company’s board of directors is authorized to fix the number of shares of each series and determine the rights, designations, preferences, powers and duties of any such series. The “</w:t>
      </w:r>
      <w:r>
        <w:rPr>
          <w:rFonts w:ascii="Times New Roman" w:cs="Times New Roman" w:eastAsia="Times New Roman" w:hAnsi="Times New Roman"/>
          <w:sz w:val="18"/>
          <w:szCs w:val="18"/>
          <w:b w:val="1"/>
          <w:bCs w:val="1"/>
          <w:color w:val="auto"/>
        </w:rPr>
        <w:t>9.500% Fixed-Rate Reset Series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Cumulative Perpetual Redeemable Preferred Shares</w:t>
      </w:r>
      <w:r>
        <w:rPr>
          <w:rFonts w:ascii="Times New Roman" w:cs="Times New Roman" w:eastAsia="Times New Roman" w:hAnsi="Times New Roman"/>
          <w:sz w:val="18"/>
          <w:szCs w:val="18"/>
          <w:color w:val="auto"/>
        </w:rPr>
        <w:t>” are designated as one series of our authorized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consisting of 2,600,000 Series D Preferred Shares.</w:t>
      </w:r>
    </w:p>
    <w:p>
      <w:pPr>
        <w:spacing w:after="0" w:line="81"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 xml:space="preserve">The Series D Preferred Shares represent perpetual equity interests in us and, unlike our indebtedness, do not give rise to a claim for payment of a principal amount at a particular date. As such, the Series D Preferred Shares rank junior to all of our current and future indebtedness and other liabilities with respect to assets available to satisfy claims against us. The Series D Preferred Shares have a fixed liquidation preference of $25.00 per Series D Preferred Share, plus an amount equal to accumulated and unpaid distributions thereon, if any, to, but excluding, the date of payment, whether or not declared; provided that the rights of the holders of Series D Preferred Shares to receive the liquidation preference will be subject to the proportional rights of holders of Parity Securities (as defined below) and to the other matters described under </w:t>
      </w:r>
      <w:r>
        <w:rPr>
          <w:rFonts w:ascii="Times New Roman" w:cs="Times New Roman" w:eastAsia="Times New Roman" w:hAnsi="Times New Roman"/>
          <w:sz w:val="18"/>
          <w:szCs w:val="18"/>
          <w:i w:val="1"/>
          <w:iCs w:val="1"/>
          <w:color w:val="auto"/>
        </w:rPr>
        <w:t>“—Liquidation Rights.”</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Series D Preferred Shares trade on Nasdaq under the symbol “FTAIM.”</w:t>
      </w: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Ranking</w:t>
      </w:r>
    </w:p>
    <w:p>
      <w:pPr>
        <w:spacing w:after="0" w:line="113" w:lineRule="exact"/>
        <w:rPr>
          <w:sz w:val="20"/>
          <w:szCs w:val="20"/>
          <w:color w:val="auto"/>
        </w:rPr>
      </w:pPr>
    </w:p>
    <w:p>
      <w:pPr>
        <w:jc w:val="both"/>
        <w:ind w:left="400" w:right="399" w:firstLine="351"/>
        <w:spacing w:after="0" w:line="282" w:lineRule="auto"/>
        <w:rPr>
          <w:sz w:val="20"/>
          <w:szCs w:val="20"/>
          <w:color w:val="auto"/>
        </w:rPr>
      </w:pPr>
      <w:r>
        <w:rPr>
          <w:rFonts w:ascii="Times New Roman" w:cs="Times New Roman" w:eastAsia="Times New Roman" w:hAnsi="Times New Roman"/>
          <w:sz w:val="16"/>
          <w:szCs w:val="16"/>
          <w:color w:val="auto"/>
        </w:rPr>
        <w:t>With respect to the payment of distributions and rights (including redemption rights) upon our liquidation, dissolution or winding up, the Series D Preferred Shares rank (i) senior and prior to our ordinary shares and any class or series of preferred shares that by its terms is designated as ranking junior to the Series D Preferred Shares,</w:t>
      </w:r>
    </w:p>
    <w:p>
      <w:pPr>
        <w:spacing w:after="0" w:line="1" w:lineRule="exact"/>
        <w:rPr>
          <w:sz w:val="20"/>
          <w:szCs w:val="20"/>
          <w:color w:val="auto"/>
        </w:rPr>
      </w:pPr>
    </w:p>
    <w:p>
      <w:pPr>
        <w:jc w:val="both"/>
        <w:ind w:left="400" w:right="399" w:hanging="6"/>
        <w:spacing w:after="0" w:line="244"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pari passu with any class or series of preferred shares that by its terms is designated as ranking equal to the Series D Preferred Shares or does not state it is junior or senior to the Series D Preferred Shares (including our Series C Preferred Shares), (iii) junior to any class or series of preferred shares that is expressly designated as ranking senior to the Series D Preferred Shares (subject to receipt of any requisite consents prior to issuance) and</w:t>
      </w:r>
    </w:p>
    <w:p>
      <w:pPr>
        <w:spacing w:after="0" w:line="1" w:lineRule="exact"/>
        <w:rPr>
          <w:rFonts w:ascii="Times New Roman" w:cs="Times New Roman" w:eastAsia="Times New Roman" w:hAnsi="Times New Roman"/>
          <w:sz w:val="18"/>
          <w:szCs w:val="18"/>
          <w:color w:val="auto"/>
        </w:rPr>
      </w:pPr>
    </w:p>
    <w:p>
      <w:pPr>
        <w:jc w:val="both"/>
        <w:ind w:left="400" w:right="419" w:hanging="6"/>
        <w:spacing w:after="0" w:line="246" w:lineRule="auto"/>
        <w:tabs>
          <w:tab w:leader="none" w:pos="7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junior to all of our existing and future indebtedness (including indebtedness convertible into our ordinary shares or preferred shares) and other liabilities and to all liabilities and any preferred equity of our existing subsidiaries and any future subsidiaries.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20" w:name="page21"/>
    <w:bookmarkEnd w:id="2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2"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The Series D Preferred Shares are not convertible into, or exchangeable for, shares of any other class or series of our share capital or other securities and are not subject to any sinking fund or other obligation to redeem or repurchase the Series D Preferred Shares. The Series D Preferred Shares are not secured, are not guaranteed by us or any of our affiliates and are not subject to any other arrangement that legally or economically enhances the ranking of the Series D Preferred Shares.</w:t>
      </w:r>
    </w:p>
    <w:p>
      <w:pPr>
        <w:spacing w:after="0" w:line="3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13" w:lineRule="exact"/>
        <w:rPr>
          <w:sz w:val="20"/>
          <w:szCs w:val="20"/>
          <w:color w:val="auto"/>
        </w:rPr>
      </w:pPr>
    </w:p>
    <w:p>
      <w:pPr>
        <w:jc w:val="both"/>
        <w:ind w:left="400" w:right="399" w:firstLine="351"/>
        <w:spacing w:after="0" w:line="246" w:lineRule="auto"/>
        <w:rPr>
          <w:sz w:val="20"/>
          <w:szCs w:val="20"/>
          <w:color w:val="auto"/>
        </w:rPr>
      </w:pPr>
      <w:r>
        <w:rPr>
          <w:rFonts w:ascii="Times New Roman" w:cs="Times New Roman" w:eastAsia="Times New Roman" w:hAnsi="Times New Roman"/>
          <w:sz w:val="18"/>
          <w:szCs w:val="18"/>
          <w:color w:val="auto"/>
        </w:rPr>
        <w:t>Holders of the Series D Preferred Shares are entitled to receive, only when, as, and if declared by our board of directors, out of funds legally available for such purpose, cumulative cash distributions based on the stated liquidation preference of $25.00 per Series D Preferred Share at a rate equal to (i) from, and including, the original issue date of the Series D Preferred Shares to, but excluding, June 15, 2028 (the “</w:t>
      </w:r>
      <w:r>
        <w:rPr>
          <w:rFonts w:ascii="Times New Roman" w:cs="Times New Roman" w:eastAsia="Times New Roman" w:hAnsi="Times New Roman"/>
          <w:sz w:val="18"/>
          <w:szCs w:val="18"/>
          <w:b w:val="1"/>
          <w:bCs w:val="1"/>
          <w:color w:val="auto"/>
        </w:rPr>
        <w:t>Series D Reset Rate Period</w:t>
      </w:r>
      <w:r>
        <w:rPr>
          <w:rFonts w:ascii="Times New Roman" w:cs="Times New Roman" w:eastAsia="Times New Roman" w:hAnsi="Times New Roman"/>
          <w:sz w:val="18"/>
          <w:szCs w:val="18"/>
          <w:color w:val="auto"/>
        </w:rPr>
        <w:t>”), 9.500% per annum, and (ii) beginning June 15, 2028 (the “</w:t>
      </w:r>
      <w:r>
        <w:rPr>
          <w:rFonts w:ascii="Times New Roman" w:cs="Times New Roman" w:eastAsia="Times New Roman" w:hAnsi="Times New Roman"/>
          <w:sz w:val="18"/>
          <w:szCs w:val="18"/>
          <w:b w:val="1"/>
          <w:bCs w:val="1"/>
          <w:color w:val="auto"/>
        </w:rPr>
        <w:t>Series D Fixed Rate Period</w:t>
      </w:r>
      <w:r>
        <w:rPr>
          <w:rFonts w:ascii="Times New Roman" w:cs="Times New Roman" w:eastAsia="Times New Roman" w:hAnsi="Times New Roman"/>
          <w:sz w:val="18"/>
          <w:szCs w:val="18"/>
          <w:color w:val="auto"/>
        </w:rPr>
        <w:t>”), the Five-Year Treasury Rate (as defined below) plus a spread of 516.2 basis points per annum; provided that if the Five-Year Treasury Rate for any Distribution Period (as defined below) described in this clause (ii) cannot be determined pursuant to the definition of “Five-Year Treasury Rate,” the distribution rate for such Distribution Period will be the same as the distribution rate determined or utilized for the immediately preceding Distribution Period. A “</w:t>
      </w:r>
      <w:r>
        <w:rPr>
          <w:rFonts w:ascii="Times New Roman" w:cs="Times New Roman" w:eastAsia="Times New Roman" w:hAnsi="Times New Roman"/>
          <w:sz w:val="18"/>
          <w:szCs w:val="18"/>
          <w:b w:val="1"/>
          <w:bCs w:val="1"/>
          <w:color w:val="auto"/>
        </w:rPr>
        <w:t>Distribution Period</w:t>
      </w:r>
      <w:r>
        <w:rPr>
          <w:rFonts w:ascii="Times New Roman" w:cs="Times New Roman" w:eastAsia="Times New Roman" w:hAnsi="Times New Roman"/>
          <w:sz w:val="18"/>
          <w:szCs w:val="18"/>
          <w:color w:val="auto"/>
        </w:rPr>
        <w:t>” means the period from, and including, each Distribution Payment Date to, but excluding, the next succeeding Distribution Payment Date, except for the initial Distribution Period, which is the period from, and including, the original issue date of the Series D Preferred Shares to, but excluding, the next succeeding Distribution Payment Date.</w:t>
      </w:r>
    </w:p>
    <w:p>
      <w:pPr>
        <w:spacing w:after="0" w:line="87" w:lineRule="exact"/>
        <w:rPr>
          <w:sz w:val="20"/>
          <w:szCs w:val="20"/>
          <w:color w:val="auto"/>
        </w:rPr>
      </w:pPr>
    </w:p>
    <w:p>
      <w:pPr>
        <w:jc w:val="both"/>
        <w:ind w:left="400" w:right="419" w:firstLine="351"/>
        <w:spacing w:after="0" w:line="252" w:lineRule="auto"/>
        <w:rPr>
          <w:sz w:val="20"/>
          <w:szCs w:val="20"/>
          <w:color w:val="auto"/>
        </w:rPr>
      </w:pPr>
      <w:r>
        <w:rPr>
          <w:rFonts w:ascii="Times New Roman" w:cs="Times New Roman" w:eastAsia="Times New Roman" w:hAnsi="Times New Roman"/>
          <w:sz w:val="18"/>
          <w:szCs w:val="18"/>
          <w:color w:val="auto"/>
        </w:rPr>
        <w:t>For purposes of calculating the distribution rate for a given Series D Fixed Rate Period, the calculation agent shall determine the “</w:t>
      </w:r>
      <w:r>
        <w:rPr>
          <w:rFonts w:ascii="Times New Roman" w:cs="Times New Roman" w:eastAsia="Times New Roman" w:hAnsi="Times New Roman"/>
          <w:sz w:val="18"/>
          <w:szCs w:val="18"/>
          <w:b w:val="1"/>
          <w:bCs w:val="1"/>
          <w:color w:val="auto"/>
        </w:rPr>
        <w:t>Five-Year Treasury Rate</w:t>
      </w:r>
      <w:r>
        <w:rPr>
          <w:rFonts w:ascii="Times New Roman" w:cs="Times New Roman" w:eastAsia="Times New Roman" w:hAnsi="Times New Roman"/>
          <w:sz w:val="18"/>
          <w:szCs w:val="18"/>
          <w:color w:val="auto"/>
        </w:rPr>
        <w:t>” (for any Reset Period (as defined below) commencing on or after the Series D Reset Rate Period), based on the rate on the Reset Distribution Determination Date (as defined below) and equal to:</w:t>
      </w:r>
    </w:p>
    <w:p>
      <w:pPr>
        <w:spacing w:after="0" w:line="79" w:lineRule="exact"/>
        <w:rPr>
          <w:sz w:val="20"/>
          <w:szCs w:val="20"/>
          <w:color w:val="auto"/>
        </w:rPr>
      </w:pPr>
    </w:p>
    <w:p>
      <w:pPr>
        <w:jc w:val="both"/>
        <w:ind w:left="1080" w:right="419" w:hanging="335"/>
        <w:spacing w:after="0" w:line="289" w:lineRule="auto"/>
        <w:tabs>
          <w:tab w:leader="none" w:pos="10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of the yields to maturity on actively traded U.S. treasury securities adjusted to constant maturity, for five-year maturities, for the five business days appearing under the caption “Treasury Constant Maturities” in the most recently published statistical release designated H.15 Daily Update or any successor publication which is published by the Federal Reserve Board, as determined by the calculation agent in its sole discretion, as of 5:00 p.m. (Eastern Time) as of any date of determination; or</w:t>
      </w:r>
    </w:p>
    <w:p>
      <w:pPr>
        <w:spacing w:after="0" w:line="51" w:lineRule="exact"/>
        <w:rPr>
          <w:rFonts w:ascii="Times New Roman" w:cs="Times New Roman" w:eastAsia="Times New Roman" w:hAnsi="Times New Roman"/>
          <w:sz w:val="16"/>
          <w:szCs w:val="16"/>
          <w:color w:val="auto"/>
        </w:rPr>
      </w:pPr>
    </w:p>
    <w:p>
      <w:pPr>
        <w:jc w:val="both"/>
        <w:ind w:left="1080" w:right="419" w:hanging="335"/>
        <w:spacing w:after="0" w:line="24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calculation is provided as described in clause (i), then the calculation agent, after consulting such sources as it deems comparable to any of the foregoing calculations, or any such source as it deems reasonable from which to estimate the Five-Year Treasury Rate, shall determine the Five-Year Treasury Rate in its sole discretion; provided that if the calculation agent determines there is an industry-accepted successor Five-Year Treasury Rate, then the calculation agent shall use such successor rate. If the calculation agent has determined a substitute or successor rate in accordance with the foregoing, the calculation agent, in its sole discretion, may determine the “business day” convention, the definition of “business day” and the Reset Distribution Determination Date to be used and any other relevant methodology for calculating such substitute or successor rate, including any adjustment factor needed to make such substitute or successor rate comparable to the rate described in clause (i), in a manner that is consistent with industry-accepted practices for such substitute or successor rate.</w:t>
      </w:r>
    </w:p>
    <w:p>
      <w:pPr>
        <w:spacing w:after="0" w:line="88" w:lineRule="exact"/>
        <w:rPr>
          <w:sz w:val="20"/>
          <w:szCs w:val="20"/>
          <w:color w:val="auto"/>
        </w:rPr>
      </w:pPr>
    </w:p>
    <w:p>
      <w:pPr>
        <w:jc w:val="both"/>
        <w:ind w:left="400" w:right="399" w:firstLine="351"/>
        <w:spacing w:after="0" w:line="253"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color w:val="auto"/>
        </w:rPr>
        <w:t>Reset Period</w:t>
      </w:r>
      <w:r>
        <w:rPr>
          <w:rFonts w:ascii="Times New Roman" w:cs="Times New Roman" w:eastAsia="Times New Roman" w:hAnsi="Times New Roman"/>
          <w:sz w:val="18"/>
          <w:szCs w:val="18"/>
          <w:color w:val="auto"/>
        </w:rPr>
        <w:t>” means the period from, and including, June 15, 2028 to, but excluding, the fifth-year anniversary of said date, and thereafter from, and including, the fifth-year anniversary of June 15, 2028, but excluding the following fifth-year anniversary of said date (each five-year period, commencing with June 15, 2028, a “Reset Period”).</w:t>
      </w:r>
    </w:p>
    <w:p>
      <w:pPr>
        <w:spacing w:after="0" w:line="76" w:lineRule="exact"/>
        <w:rPr>
          <w:sz w:val="20"/>
          <w:szCs w:val="20"/>
          <w:color w:val="auto"/>
        </w:rPr>
      </w:pPr>
    </w:p>
    <w:p>
      <w:pPr>
        <w:jc w:val="both"/>
        <w:ind w:left="400" w:right="399" w:firstLine="351"/>
        <w:spacing w:after="0" w:line="271"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color w:val="auto"/>
        </w:rPr>
        <w:t>Reset Distribution Determination Date</w:t>
      </w:r>
      <w:r>
        <w:rPr>
          <w:rFonts w:ascii="Times New Roman" w:cs="Times New Roman" w:eastAsia="Times New Roman" w:hAnsi="Times New Roman"/>
          <w:sz w:val="18"/>
          <w:szCs w:val="18"/>
          <w:color w:val="auto"/>
        </w:rPr>
        <w:t>” means, in respect of any Reset Period, the day falling three business days prior to the beginning of such Reset Period.</w:t>
      </w:r>
    </w:p>
    <w:p>
      <w:pPr>
        <w:spacing w:after="0" w:line="62" w:lineRule="exact"/>
        <w:rPr>
          <w:sz w:val="20"/>
          <w:szCs w:val="20"/>
          <w:color w:val="auto"/>
        </w:rPr>
      </w:pPr>
    </w:p>
    <w:p>
      <w:pPr>
        <w:jc w:val="both"/>
        <w:ind w:left="400" w:right="399" w:firstLine="351"/>
        <w:spacing w:after="0" w:line="286" w:lineRule="auto"/>
        <w:rPr>
          <w:sz w:val="20"/>
          <w:szCs w:val="20"/>
          <w:color w:val="auto"/>
        </w:rPr>
      </w:pPr>
      <w:r>
        <w:rPr>
          <w:rFonts w:ascii="Times New Roman" w:cs="Times New Roman" w:eastAsia="Times New Roman" w:hAnsi="Times New Roman"/>
          <w:sz w:val="16"/>
          <w:szCs w:val="16"/>
          <w:color w:val="auto"/>
        </w:rPr>
        <w:t>When, as, and if declared by our board of directors, we pay cash distributions on the Series D Preferred Shares quarterly, in arrears, on each Distribution Payment Date, which payments began on June 15, 2023. We pay cash distributions to the holders of record of Series D Preferred Shares as they appear on our share register on the applicable record date, which for any Distribution Payment Date shall be the 1st calendar day of the month of such Distribution Payment Date or such other record date fixed by our board of directors as the record date for such Distribution Payment Date that is not more than 60 nor less than 10 days prior to such Distribution Payment Date.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21" w:name="page22"/>
    <w:bookmarkEnd w:id="2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2" w:lineRule="exact"/>
        <w:rPr>
          <w:sz w:val="20"/>
          <w:szCs w:val="20"/>
          <w:color w:val="auto"/>
        </w:rPr>
      </w:pPr>
    </w:p>
    <w:p>
      <w:pPr>
        <w:jc w:val="both"/>
        <w:ind w:left="400" w:right="399" w:firstLine="351"/>
        <w:spacing w:after="0" w:line="248" w:lineRule="auto"/>
        <w:rPr>
          <w:sz w:val="20"/>
          <w:szCs w:val="20"/>
          <w:color w:val="auto"/>
        </w:rPr>
      </w:pPr>
      <w:r>
        <w:rPr>
          <w:rFonts w:ascii="Times New Roman" w:cs="Times New Roman" w:eastAsia="Times New Roman" w:hAnsi="Times New Roman"/>
          <w:sz w:val="18"/>
          <w:szCs w:val="18"/>
          <w:color w:val="auto"/>
        </w:rPr>
        <w:t>Distributions on the Series D Preferred Shares are not mandatory. However, distributions on the Series D Preferred Shares accrue from the most recent Distribution Payment Date on which all accrued distributions have been paid, as applicable, whether or not we have earnings, whether or not there are funds legally available for the payment of those distributions and whether or not those distributions are declared. No interest, or sum in lieu of interest, is payable in respect of any distribution payment or payments on the Series D Preferred Shares which may be in arrears, and holders of the Series D Preferred Shares are not entitled to any distribution, whether payable in cash, property, or shares, in excess of the full cumulative distributions described above.</w:t>
      </w:r>
    </w:p>
    <w:p>
      <w:pPr>
        <w:spacing w:after="0" w:line="84" w:lineRule="exact"/>
        <w:rPr>
          <w:sz w:val="20"/>
          <w:szCs w:val="20"/>
          <w:color w:val="auto"/>
        </w:rPr>
      </w:pPr>
    </w:p>
    <w:p>
      <w:pPr>
        <w:jc w:val="both"/>
        <w:ind w:left="400" w:right="399" w:firstLine="351"/>
        <w:spacing w:after="0" w:line="269" w:lineRule="auto"/>
        <w:rPr>
          <w:sz w:val="20"/>
          <w:szCs w:val="20"/>
          <w:color w:val="auto"/>
        </w:rPr>
      </w:pPr>
      <w:r>
        <w:rPr>
          <w:rFonts w:ascii="Times New Roman" w:cs="Times New Roman" w:eastAsia="Times New Roman" w:hAnsi="Times New Roman"/>
          <w:sz w:val="18"/>
          <w:szCs w:val="18"/>
          <w:color w:val="auto"/>
        </w:rPr>
        <w:t>If in the future we issue additional shares of the Series D Preferred Shares, distributions on those additional shares will accrue from the most recent Distribution Payment Date at the then-applicable distribution rate.</w:t>
      </w:r>
    </w:p>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Priority Regarding Distributions</w:t>
      </w:r>
    </w:p>
    <w:p>
      <w:pPr>
        <w:spacing w:after="0" w:line="113" w:lineRule="exact"/>
        <w:rPr>
          <w:sz w:val="20"/>
          <w:szCs w:val="20"/>
          <w:color w:val="auto"/>
        </w:rPr>
      </w:pPr>
    </w:p>
    <w:p>
      <w:pPr>
        <w:jc w:val="both"/>
        <w:ind w:left="400" w:right="399" w:firstLine="351"/>
        <w:spacing w:after="0" w:line="256" w:lineRule="auto"/>
        <w:rPr>
          <w:sz w:val="20"/>
          <w:szCs w:val="20"/>
          <w:color w:val="auto"/>
        </w:rPr>
      </w:pPr>
      <w:r>
        <w:rPr>
          <w:rFonts w:ascii="Times New Roman" w:cs="Times New Roman" w:eastAsia="Times New Roman" w:hAnsi="Times New Roman"/>
          <w:sz w:val="18"/>
          <w:szCs w:val="18"/>
          <w:color w:val="auto"/>
        </w:rPr>
        <w:t>While any Series D Preferred Shares remain outstanding, unless the full cumulative distributions for all past Distribution Periods on all outstanding Series D Preferred Shares have been or contemporaneously are declared and paid in full or declared and a sum sufficient for the payment of those distributions has been set aside:</w:t>
      </w:r>
    </w:p>
    <w:p>
      <w:pPr>
        <w:spacing w:after="0" w:line="75" w:lineRule="exact"/>
        <w:rPr>
          <w:sz w:val="20"/>
          <w:szCs w:val="20"/>
          <w:color w:val="auto"/>
        </w:rPr>
      </w:pPr>
    </w:p>
    <w:p>
      <w:pPr>
        <w:ind w:left="1080" w:right="419" w:hanging="335"/>
        <w:spacing w:after="0" w:line="269"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distribution will be declared and paid or set aside for payment on any Junior Securities (as defined below) (other than a distribution payable solely in shares of Junior Securities);</w:t>
      </w:r>
    </w:p>
    <w:p>
      <w:pPr>
        <w:spacing w:after="0" w:line="62" w:lineRule="exact"/>
        <w:rPr>
          <w:rFonts w:ascii="Times New Roman" w:cs="Times New Roman" w:eastAsia="Times New Roman" w:hAnsi="Times New Roman"/>
          <w:sz w:val="18"/>
          <w:szCs w:val="18"/>
          <w:color w:val="auto"/>
        </w:rPr>
      </w:pPr>
    </w:p>
    <w:p>
      <w:pPr>
        <w:jc w:val="both"/>
        <w:ind w:left="1080" w:right="419" w:hanging="335"/>
        <w:spacing w:after="0" w:line="247"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Junior Securities will be repurchased, redeemed, or otherwise acquired for consideration by the Company or any of its subsidiaries, directly or indirectly (other than as a result of a reclassification of Junior Securities for or into other Junior Securities, or the exchange for or conversion into Junior Securities, through the use of the proceeds of a substantially contemporaneous sale of other Junior Securities or pursuant to a contractually binding requirement to buy Junior Securities pursuant to a binding agreement existing prior to the original issue date of the Series D Preferred Shares), nor will any monies be paid to or made available for a sinking fund for the redemption of any such securities by the Company or any of its subsidiaries; and</w:t>
      </w:r>
    </w:p>
    <w:p>
      <w:pPr>
        <w:spacing w:after="0" w:line="87" w:lineRule="exact"/>
        <w:rPr>
          <w:rFonts w:ascii="Times New Roman" w:cs="Times New Roman" w:eastAsia="Times New Roman" w:hAnsi="Times New Roman"/>
          <w:sz w:val="18"/>
          <w:szCs w:val="18"/>
          <w:color w:val="auto"/>
        </w:rPr>
      </w:pPr>
    </w:p>
    <w:p>
      <w:pPr>
        <w:jc w:val="both"/>
        <w:ind w:left="1080" w:right="419" w:hanging="335"/>
        <w:spacing w:after="0" w:line="250"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Parity Securities will be repurchased, redeemed or otherwise acquired for consideration by the Company or any of its subsidiaries (other than pursuant to pro rata offers to purchase or exchange all, or a pro rata portion of the Series D Preferred Shares and such Parity Securities or as a result of a reclassification of Parity Securities for or into other Parity Securities, or by conversion into or exchange for other Parity Securities or Junior Securities).</w:t>
      </w:r>
    </w:p>
    <w:p>
      <w:pPr>
        <w:spacing w:after="0" w:line="81"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The foregoing limitations do not apply to (i) purchases or acquisitions of, or cash settlement in respect of, Junior Securities pursuant to any employee or director incentive or benefit plan or arrangement (including any of our employment, severance or consulting agreements) of ours or of any of our subsidiaries and (ii) any distribution in connection with the implementation of a shareholder rights plan or the redemption or repurchase of any rights under such a plan, including with respect to any successor shareholder rights plan.</w:t>
      </w:r>
    </w:p>
    <w:p>
      <w:pPr>
        <w:spacing w:after="0" w:line="81"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Accumulated distributions in arrears for any past Distribution Period may be declared by the board of directors and paid on any date fixed by the board of directors, whether or not a Distribution Payment Date, to holders of the Series D Preferred Shares on the record date for such payment, which may not be less than 10 days before such distribution. To the extent a distribution period applicable to a class of Junior Securities or Parity Securities is shorter than the Distribution Period applicable to the Series D Preferred Shares (e.g., monthly rather than quarterly), the board of directors may declare and pay regular distributions with respect to such Junior Securities or Parity Securities so long as, at the time of declaration of such distribution, the board of directors expects to have sufficient funds to pay the full cumulative distributions in respect of the Series D Preferred Shares on the next Distribution Payment Date.</w:t>
      </w:r>
    </w:p>
    <w:p>
      <w:pPr>
        <w:spacing w:after="0" w:line="85"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Subject to the next succeeding sentence, if all accumulated distributions in arrears on all outstanding Series D Preferred Shares and any Parity Securities have not been declared and paid, or sufficient funds for the payment thereof have not been set apart, payment of accumulated distributions in arrears will be made in order of their respective distribution payment dates, commencing with the earliest distribution payment date. If less than all distributions payable with respect to all Series D Preferred Shares and any Parity Securities are paid, any partial payment will be made pro rata with respect to the Series D Preferred Shares and any Parity Securities entitled to a distribution payment at such time in proportion to the aggregate amounts remaining due in respect of such Series D Preferred Shares and Parity Securities at such time.</w:t>
      </w:r>
    </w:p>
    <w:p>
      <w:pPr>
        <w:spacing w:after="0" w:line="85" w:lineRule="exact"/>
        <w:rPr>
          <w:sz w:val="20"/>
          <w:szCs w:val="20"/>
          <w:color w:val="auto"/>
        </w:rPr>
      </w:pPr>
    </w:p>
    <w:p>
      <w:pPr>
        <w:jc w:val="both"/>
        <w:ind w:left="400" w:right="419" w:firstLine="351"/>
        <w:spacing w:after="0" w:line="258" w:lineRule="auto"/>
        <w:rPr>
          <w:sz w:val="20"/>
          <w:szCs w:val="20"/>
          <w:color w:val="auto"/>
        </w:rPr>
      </w:pPr>
      <w:r>
        <w:rPr>
          <w:rFonts w:ascii="Times New Roman" w:cs="Times New Roman" w:eastAsia="Times New Roman" w:hAnsi="Times New Roman"/>
          <w:sz w:val="18"/>
          <w:szCs w:val="18"/>
          <w:color w:val="auto"/>
        </w:rPr>
        <w:t>As used in this description of Series D Preferred Shares, (i) “</w:t>
      </w:r>
      <w:r>
        <w:rPr>
          <w:rFonts w:ascii="Times New Roman" w:cs="Times New Roman" w:eastAsia="Times New Roman" w:hAnsi="Times New Roman"/>
          <w:sz w:val="18"/>
          <w:szCs w:val="18"/>
          <w:b w:val="1"/>
          <w:bCs w:val="1"/>
          <w:color w:val="auto"/>
        </w:rPr>
        <w:t>Junior Securities</w:t>
      </w:r>
      <w:r>
        <w:rPr>
          <w:rFonts w:ascii="Times New Roman" w:cs="Times New Roman" w:eastAsia="Times New Roman" w:hAnsi="Times New Roman"/>
          <w:sz w:val="18"/>
          <w:szCs w:val="18"/>
          <w:color w:val="auto"/>
        </w:rPr>
        <w:t>” means our ordinary shares and any other class or series of our share capital over which the Series D Preferred Shares has preference or priority in the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22" w:name="page23"/>
    <w:bookmarkEnd w:id="2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both"/>
        <w:ind w:left="400" w:right="419"/>
        <w:spacing w:after="0" w:line="249" w:lineRule="auto"/>
        <w:rPr>
          <w:sz w:val="20"/>
          <w:szCs w:val="20"/>
          <w:color w:val="auto"/>
        </w:rPr>
      </w:pPr>
      <w:r>
        <w:rPr>
          <w:rFonts w:ascii="Times New Roman" w:cs="Times New Roman" w:eastAsia="Times New Roman" w:hAnsi="Times New Roman"/>
          <w:sz w:val="18"/>
          <w:szCs w:val="18"/>
          <w:color w:val="auto"/>
        </w:rPr>
        <w:t>payment of distributions or in the distribution of assets on our liquidation, dissolution or winding up, (ii) “</w:t>
      </w:r>
      <w:r>
        <w:rPr>
          <w:rFonts w:ascii="Times New Roman" w:cs="Times New Roman" w:eastAsia="Times New Roman" w:hAnsi="Times New Roman"/>
          <w:sz w:val="18"/>
          <w:szCs w:val="18"/>
          <w:b w:val="1"/>
          <w:bCs w:val="1"/>
          <w:color w:val="auto"/>
        </w:rPr>
        <w:t>Parity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any other class or series of our share capital that ranks equally with the Series D Preferred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payment of distributions and in the distribution of assets on our liquidation, dissolution or winding up (including our Series C Preferred Shares) and (iii) “</w:t>
      </w:r>
      <w:r>
        <w:rPr>
          <w:rFonts w:ascii="Times New Roman" w:cs="Times New Roman" w:eastAsia="Times New Roman" w:hAnsi="Times New Roman"/>
          <w:sz w:val="18"/>
          <w:szCs w:val="18"/>
          <w:b w:val="1"/>
          <w:bCs w:val="1"/>
          <w:color w:val="auto"/>
        </w:rPr>
        <w:t>Senior Securities</w:t>
      </w:r>
      <w:r>
        <w:rPr>
          <w:rFonts w:ascii="Times New Roman" w:cs="Times New Roman" w:eastAsia="Times New Roman" w:hAnsi="Times New Roman"/>
          <w:sz w:val="18"/>
          <w:szCs w:val="18"/>
          <w:color w:val="auto"/>
        </w:rPr>
        <w:t>” means any other class or series of our share capital that has preference or priority over the Series D Preferred Shares in the payment of distributions or in the distribution of assets on our liquidation, dissolution or winding up.</w:t>
      </w:r>
    </w:p>
    <w:p>
      <w:pPr>
        <w:spacing w:after="0" w:line="84" w:lineRule="exact"/>
        <w:rPr>
          <w:sz w:val="20"/>
          <w:szCs w:val="20"/>
          <w:color w:val="auto"/>
        </w:rPr>
      </w:pPr>
    </w:p>
    <w:p>
      <w:pPr>
        <w:jc w:val="both"/>
        <w:ind w:left="400" w:right="399" w:firstLine="351"/>
        <w:spacing w:after="0" w:line="252" w:lineRule="auto"/>
        <w:rPr>
          <w:sz w:val="20"/>
          <w:szCs w:val="20"/>
          <w:color w:val="auto"/>
        </w:rPr>
      </w:pPr>
      <w:r>
        <w:rPr>
          <w:rFonts w:ascii="Times New Roman" w:cs="Times New Roman" w:eastAsia="Times New Roman" w:hAnsi="Times New Roman"/>
          <w:sz w:val="18"/>
          <w:szCs w:val="18"/>
          <w:color w:val="auto"/>
        </w:rPr>
        <w:t>Subject to the conditions described above, and not otherwise, distributions (payable in cash, shares, or otherwise), as may be determined by our board of directors, may be declared and paid on our ordinary shares and any other Junior Securities from time to time out of any funds legally available for such payment, and the holders of the Series D Preferred Shares will not be entitled to participate in those distributions.</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13"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Upon our voluntary or involuntary Liquidation, the holders of the outstanding Series D Preferred Shares are entitled to be paid out of our assets legally available for distribution to our shareholders, before any distribution of assets is made to holders of ordinary shares or any other Junior Securities, a liquidating distribution in the amount of a liquidation preference of $25.00 per share, plus an amount equal to accumulated and unpaid distributions thereon, if any, to, but excluding, the date of such liquidating distribution, whether or not declared, plus the sum of any declared and unpaid distributions for Distribution Periods prior to the Distribution Period in which the liquidating distribution is made and any declared and unpaid distributions for the then current Distribution Period in which the liquidating distribution is made to the date of such liquidating distribution. After payment of the full amount of the liquidating distributions to which they are entitled, the holders of Series D Preferred Shares will have no right or claim to any of our remaining assets.</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Conversion; Exchange and Preemptive Rights</w:t>
      </w:r>
    </w:p>
    <w:p>
      <w:pPr>
        <w:spacing w:after="0" w:line="113" w:lineRule="exact"/>
        <w:rPr>
          <w:sz w:val="20"/>
          <w:szCs w:val="20"/>
          <w:color w:val="auto"/>
        </w:rPr>
      </w:pPr>
    </w:p>
    <w:p>
      <w:pPr>
        <w:jc w:val="both"/>
        <w:ind w:left="400" w:right="399" w:firstLine="351"/>
        <w:spacing w:after="0" w:line="256" w:lineRule="auto"/>
        <w:rPr>
          <w:sz w:val="20"/>
          <w:szCs w:val="20"/>
          <w:color w:val="auto"/>
        </w:rPr>
      </w:pPr>
      <w:r>
        <w:rPr>
          <w:rFonts w:ascii="Times New Roman" w:cs="Times New Roman" w:eastAsia="Times New Roman" w:hAnsi="Times New Roman"/>
          <w:sz w:val="18"/>
          <w:szCs w:val="18"/>
          <w:color w:val="auto"/>
        </w:rPr>
        <w:t>The Series D Preferred Shares are not entitled to any preemptive rights or other rights to purchase or subscribe for our ordinary shares or any other security, and are not convertible into or exchangeable for our ordinary shares or any other security or property at the option of the holder.</w:t>
      </w:r>
    </w:p>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Additional Amounts</w:t>
      </w:r>
    </w:p>
    <w:p>
      <w:pPr>
        <w:spacing w:after="0" w:line="113" w:lineRule="exact"/>
        <w:rPr>
          <w:sz w:val="20"/>
          <w:szCs w:val="20"/>
          <w:color w:val="auto"/>
        </w:rPr>
      </w:pPr>
    </w:p>
    <w:p>
      <w:pPr>
        <w:jc w:val="both"/>
        <w:ind w:left="400" w:right="399" w:firstLine="351"/>
        <w:spacing w:after="0" w:line="277" w:lineRule="auto"/>
        <w:rPr>
          <w:sz w:val="20"/>
          <w:szCs w:val="20"/>
          <w:color w:val="auto"/>
        </w:rPr>
      </w:pPr>
      <w:r>
        <w:rPr>
          <w:rFonts w:ascii="Times New Roman" w:cs="Times New Roman" w:eastAsia="Times New Roman" w:hAnsi="Times New Roman"/>
          <w:sz w:val="16"/>
          <w:szCs w:val="16"/>
          <w:color w:val="auto"/>
        </w:rPr>
        <w:t>We will make all payments on the Series D Preferred Shares free and clear of and without withholding or deduction for, or on account of, any present or future taxes, fees, duties, assessments or governmental charges of whatever nature imposed or levied by or on behalf of (i) the Cayman Islands, (ii) any jurisdiction from or through which we or any successor entity make payments on the Series D Preferred Shares or (iii) any other jurisdiction in which we or any successor entity are organized, resident or doing business (a “</w:t>
      </w:r>
      <w:r>
        <w:rPr>
          <w:rFonts w:ascii="Times New Roman" w:cs="Times New Roman" w:eastAsia="Times New Roman" w:hAnsi="Times New Roman"/>
          <w:sz w:val="16"/>
          <w:szCs w:val="16"/>
          <w:b w:val="1"/>
          <w:bCs w:val="1"/>
          <w:color w:val="auto"/>
        </w:rPr>
        <w:t>Taxing Jurisdiction</w:t>
      </w:r>
      <w:r>
        <w:rPr>
          <w:rFonts w:ascii="Times New Roman" w:cs="Times New Roman" w:eastAsia="Times New Roman" w:hAnsi="Times New Roman"/>
          <w:sz w:val="16"/>
          <w:szCs w:val="16"/>
          <w:color w:val="auto"/>
        </w:rPr>
        <w:t>”) or any political subdivision or taxing authority thereof or therein, unless such taxes, fees, duties, assessments or governmental charges are required to be withheld or deducted by (1) the laws (or any regulations or rulings promulgated thereunder) of a Taxing Jurisdiction or any political subdivision or taxing authority thereof or therein or</w:t>
      </w:r>
    </w:p>
    <w:p>
      <w:pPr>
        <w:spacing w:after="0" w:line="5" w:lineRule="exact"/>
        <w:rPr>
          <w:sz w:val="20"/>
          <w:szCs w:val="20"/>
          <w:color w:val="auto"/>
        </w:rPr>
      </w:pPr>
    </w:p>
    <w:p>
      <w:pPr>
        <w:jc w:val="both"/>
        <w:ind w:left="400" w:right="399" w:hanging="6"/>
        <w:spacing w:after="0" w:line="278" w:lineRule="auto"/>
        <w:tabs>
          <w:tab w:leader="none" w:pos="67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official position regarding the application, administration, interpretation or enforcement of any such laws, regulations or rulings (including, without limitation, a holding by a court of competent jurisdiction or by a taxing authority in a Taxing Jurisdiction or any political subdivision thereof). If any such withholding or deduction is required, we will, subject to certain limitations and exceptions described below, pay to the holders of the Series D Preferred Shares such additional amounts as distributions as will result in receipt by each holder of any Series D Preferred Shares, after withholding or deduction for any taxes, fees, duties, assessments or governmental charges, of such amounts as would have been received by such holder had no such withholding or deduction of such taxes, fees, duties, assessments or governmental charges been required (“</w:t>
      </w:r>
      <w:r>
        <w:rPr>
          <w:rFonts w:ascii="Times New Roman" w:cs="Times New Roman" w:eastAsia="Times New Roman" w:hAnsi="Times New Roman"/>
          <w:sz w:val="16"/>
          <w:szCs w:val="16"/>
          <w:b w:val="1"/>
          <w:bCs w:val="1"/>
          <w:color w:val="auto"/>
        </w:rPr>
        <w:t>Additional Amounts</w:t>
      </w:r>
      <w:r>
        <w:rPr>
          <w:rFonts w:ascii="Times New Roman" w:cs="Times New Roman" w:eastAsia="Times New Roman" w:hAnsi="Times New Roman"/>
          <w:sz w:val="16"/>
          <w:szCs w:val="16"/>
          <w:color w:val="auto"/>
        </w:rPr>
        <w:t>”); provided that if we determine that it is required by Cayman Islands law, we shall pay such Additional Amounts pro rata to all holders such that each holder receives at least the amount that would otherwise be required to be paid to such holder hereunder.</w:t>
      </w:r>
    </w:p>
    <w:p>
      <w:pPr>
        <w:spacing w:after="0" w:line="10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will not be required to pay any Additional Amounts for or on account of:</w:t>
      </w:r>
    </w:p>
    <w:p>
      <w:pPr>
        <w:spacing w:after="0" w:line="109" w:lineRule="exact"/>
        <w:rPr>
          <w:sz w:val="20"/>
          <w:szCs w:val="20"/>
          <w:color w:val="auto"/>
        </w:rPr>
      </w:pPr>
    </w:p>
    <w:p>
      <w:pPr>
        <w:jc w:val="both"/>
        <w:ind w:left="1080" w:right="419" w:hanging="335"/>
        <w:spacing w:after="0" w:line="249"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fee, duty, assessment or governmental charge of whatever nature that would not have been imposed but for the fact that such holder was a resident, citizen, domiciliary or national of, or engaged in business or maintained a permanent establishment or was physically present in, the relevant Taxing Jurisdiction or any political subdivision thereof or otherwise had some connection with the relevant Taxing Jurisdiction other than by reason of the mere ownership of, receipt of payment under, or enforcement of any rights under, such Series D Preferred Shares;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23" w:name="page24"/>
    <w:bookmarkEnd w:id="2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2" w:lineRule="exact"/>
        <w:rPr>
          <w:sz w:val="20"/>
          <w:szCs w:val="20"/>
          <w:color w:val="auto"/>
        </w:rPr>
      </w:pPr>
    </w:p>
    <w:p>
      <w:pPr>
        <w:ind w:left="1080" w:right="419" w:hanging="335"/>
        <w:spacing w:after="0" w:line="269"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 transfer, personal property or similar tax, assessment or other governmental charge;</w:t>
      </w:r>
    </w:p>
    <w:p>
      <w:pPr>
        <w:spacing w:after="0" w:line="62"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fee, assessment or other governmental charge that is payable otherwise than by withholding or deduction from payment on the Series D Preferred Shares;</w:t>
      </w:r>
    </w:p>
    <w:p>
      <w:pPr>
        <w:spacing w:after="0" w:line="62" w:lineRule="exact"/>
        <w:rPr>
          <w:rFonts w:ascii="Times New Roman" w:cs="Times New Roman" w:eastAsia="Times New Roman" w:hAnsi="Times New Roman"/>
          <w:sz w:val="18"/>
          <w:szCs w:val="18"/>
          <w:color w:val="auto"/>
        </w:rPr>
      </w:pPr>
    </w:p>
    <w:p>
      <w:pPr>
        <w:jc w:val="both"/>
        <w:ind w:left="1080" w:right="419" w:hanging="335"/>
        <w:spacing w:after="0" w:line="247"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fee, duty, assessment or other governmental charge that is imposed or withheld by reason of the failure by the holder of such Series D Preferred Shares to comply with any reasonable request by us addressed to the holder within 90 days of such request (1) to provide information concerning the nationality, citizenship, residence or identity of the holder or (2) to make any declaration or other similar claim or satisfy any information or reporting requirement, which is required or imposed by statute, treaty, regulation or administrative practice of the relevant Taxing Jurisdiction or any political subdivision thereof as a precondition to exemption from all or part of such tax, fee, duty, assessment or other governmental charge;</w:t>
      </w:r>
    </w:p>
    <w:p>
      <w:pPr>
        <w:spacing w:after="0" w:line="87" w:lineRule="exact"/>
        <w:rPr>
          <w:rFonts w:ascii="Times New Roman" w:cs="Times New Roman" w:eastAsia="Times New Roman" w:hAnsi="Times New Roman"/>
          <w:sz w:val="18"/>
          <w:szCs w:val="18"/>
          <w:color w:val="auto"/>
        </w:rPr>
      </w:pPr>
    </w:p>
    <w:p>
      <w:pPr>
        <w:jc w:val="both"/>
        <w:ind w:left="1080" w:right="419" w:hanging="335"/>
        <w:spacing w:after="0" w:line="25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imposed as a result of the presentation of the Series D Preferred Shares for payment (where presentation is required) more than 30 days after the relevant amount is first made available for payment to the holder (except to the extent that the holder would have been entitled to Additional Amounts had the Series D Preferred Shares been presented on the last day of such 30-day period);</w:t>
      </w:r>
    </w:p>
    <w:p>
      <w:pPr>
        <w:spacing w:after="0" w:line="79" w:lineRule="exact"/>
        <w:rPr>
          <w:rFonts w:ascii="Times New Roman" w:cs="Times New Roman" w:eastAsia="Times New Roman" w:hAnsi="Times New Roman"/>
          <w:sz w:val="18"/>
          <w:szCs w:val="18"/>
          <w:color w:val="auto"/>
        </w:rPr>
      </w:pPr>
    </w:p>
    <w:p>
      <w:pPr>
        <w:jc w:val="both"/>
        <w:ind w:left="1080" w:right="419" w:hanging="335"/>
        <w:spacing w:after="0" w:line="284" w:lineRule="auto"/>
        <w:tabs>
          <w:tab w:leader="none" w:pos="10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withholding, deduction, tax, duty, assessment or other government charge pursuant to Sections 1471 through 1474 of the U.S. Internal Revenue Code of 1986, as amended (the “</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 (or any amended or successor version that is substantively comparable and not materially more onerous to comply with), any current or future regulations or official interpretations thereof, any agreement entered into pursuant to current Section 1471(b) of the Code or any amended or successor version described above, or any fiscal or regulatory legislation, rules or practices adopted pursuant to any intergovernmental agreement entered into in connection with the implementation of such Sections of the Code; or</w:t>
      </w:r>
    </w:p>
    <w:p>
      <w:pPr>
        <w:spacing w:after="0" w:line="56" w:lineRule="exact"/>
        <w:rPr>
          <w:rFonts w:ascii="Times New Roman" w:cs="Times New Roman" w:eastAsia="Times New Roman" w:hAnsi="Times New Roman"/>
          <w:sz w:val="16"/>
          <w:szCs w:val="16"/>
          <w:color w:val="auto"/>
        </w:rPr>
      </w:pPr>
    </w:p>
    <w:p>
      <w:pPr>
        <w:ind w:left="1080" w:hanging="335"/>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items (1), (2), (3), (4), (5) and (6).</w:t>
      </w:r>
    </w:p>
    <w:p>
      <w:pPr>
        <w:spacing w:after="0" w:line="109"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In addition, we will not pay Additional Amounts with respect to any payment on any Series D Preferred Shares to any holder who is a fiduciary, partnership, limited liability company or other pass-thru entity other than the sole beneficial owner of such Series D Preferred Shares if such payment would be required by the laws of the relevant Taxing Jurisdiction (or any political subdivision or relevant taxing authority thereof or therein) to be included in the income for tax purposes of a beneficiary or partner or settlor with respect to such fiduciary or a member of such partnership, limited liability company or other pass-thru entity or a beneficial owner to the extent such beneficiary, partner or settlor would not have been entitled to such Additional Amounts had it been the holder of the Series D Preferred Shares.</w:t>
      </w:r>
    </w:p>
    <w:p>
      <w:pPr>
        <w:spacing w:after="0" w:line="87" w:lineRule="exact"/>
        <w:rPr>
          <w:sz w:val="20"/>
          <w:szCs w:val="20"/>
          <w:color w:val="auto"/>
        </w:rPr>
      </w:pPr>
    </w:p>
    <w:p>
      <w:pPr>
        <w:jc w:val="both"/>
        <w:ind w:left="400" w:right="399" w:firstLine="351"/>
        <w:spacing w:after="0" w:line="252" w:lineRule="auto"/>
        <w:rPr>
          <w:sz w:val="20"/>
          <w:szCs w:val="20"/>
          <w:color w:val="auto"/>
        </w:rPr>
      </w:pPr>
      <w:r>
        <w:rPr>
          <w:rFonts w:ascii="Times New Roman" w:cs="Times New Roman" w:eastAsia="Times New Roman" w:hAnsi="Times New Roman"/>
          <w:sz w:val="18"/>
          <w:szCs w:val="18"/>
          <w:color w:val="auto"/>
        </w:rPr>
        <w:t>Whenever in the Series D Preferred Share Designation or in this description of Series D Preferred Shares there is mention in any context any amount payable by the Company with respect to any of the Series D Preferred Shares, such reference shall be deemed to include payment of Additional Amounts to the extent that, in such context, such Additional Amounts are, were or would be payable in respect thereof.</w:t>
      </w:r>
    </w:p>
    <w:p>
      <w:pPr>
        <w:spacing w:after="0" w:line="3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13" w:lineRule="exact"/>
        <w:rPr>
          <w:sz w:val="20"/>
          <w:szCs w:val="20"/>
          <w:color w:val="auto"/>
        </w:rPr>
      </w:pPr>
    </w:p>
    <w:p>
      <w:pPr>
        <w:jc w:val="both"/>
        <w:ind w:left="400" w:right="399" w:firstLine="351"/>
        <w:spacing w:after="0" w:line="256" w:lineRule="auto"/>
        <w:rPr>
          <w:sz w:val="20"/>
          <w:szCs w:val="20"/>
          <w:color w:val="auto"/>
        </w:rPr>
      </w:pPr>
      <w:r>
        <w:rPr>
          <w:rFonts w:ascii="Times New Roman" w:cs="Times New Roman" w:eastAsia="Times New Roman" w:hAnsi="Times New Roman"/>
          <w:sz w:val="18"/>
          <w:szCs w:val="18"/>
          <w:color w:val="auto"/>
        </w:rPr>
        <w:t>The Series D Preferred Shares are not subject to any mandatory redemption, sinking fund or other similar provisions. If we become obligated to pay any additional amounts, we will also have the option to redeem the Series D Preferred Shares, as described below.</w:t>
      </w:r>
    </w:p>
    <w:p>
      <w:pPr>
        <w:spacing w:after="0" w:line="75" w:lineRule="exact"/>
        <w:rPr>
          <w:sz w:val="20"/>
          <w:szCs w:val="20"/>
          <w:color w:val="auto"/>
        </w:rPr>
      </w:pPr>
    </w:p>
    <w:p>
      <w:pPr>
        <w:jc w:val="both"/>
        <w:ind w:left="400" w:right="419" w:firstLine="351"/>
        <w:spacing w:after="0" w:line="269" w:lineRule="auto"/>
        <w:rPr>
          <w:sz w:val="20"/>
          <w:szCs w:val="20"/>
          <w:color w:val="auto"/>
        </w:rPr>
      </w:pPr>
      <w:r>
        <w:rPr>
          <w:rFonts w:ascii="Times New Roman" w:cs="Times New Roman" w:eastAsia="Times New Roman" w:hAnsi="Times New Roman"/>
          <w:sz w:val="18"/>
          <w:szCs w:val="18"/>
          <w:color w:val="auto"/>
        </w:rPr>
        <w:t>Holders of Series D Preferred Shares do not have the right to require the redemption or repurchase of the Series D Preferred Shares.</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Optional Redemption on or after June 15, 2028</w:t>
      </w:r>
    </w:p>
    <w:p>
      <w:pPr>
        <w:spacing w:after="0" w:line="111" w:lineRule="exact"/>
        <w:rPr>
          <w:sz w:val="20"/>
          <w:szCs w:val="20"/>
          <w:color w:val="auto"/>
        </w:rPr>
      </w:pPr>
    </w:p>
    <w:p>
      <w:pPr>
        <w:jc w:val="both"/>
        <w:ind w:left="400" w:right="399" w:firstLine="351"/>
        <w:spacing w:after="0" w:line="249" w:lineRule="auto"/>
        <w:rPr>
          <w:sz w:val="20"/>
          <w:szCs w:val="20"/>
          <w:color w:val="auto"/>
        </w:rPr>
      </w:pPr>
      <w:r>
        <w:rPr>
          <w:rFonts w:ascii="Times New Roman" w:cs="Times New Roman" w:eastAsia="Times New Roman" w:hAnsi="Times New Roman"/>
          <w:sz w:val="18"/>
          <w:szCs w:val="18"/>
          <w:color w:val="auto"/>
        </w:rPr>
        <w:t>We may redeem the Series D Preferred Shares, in whole or in part, at our option, at any time or from time to time on or after June 15, 2028 (“</w:t>
      </w:r>
      <w:r>
        <w:rPr>
          <w:rFonts w:ascii="Times New Roman" w:cs="Times New Roman" w:eastAsia="Times New Roman" w:hAnsi="Times New Roman"/>
          <w:sz w:val="18"/>
          <w:szCs w:val="18"/>
          <w:b w:val="1"/>
          <w:bCs w:val="1"/>
          <w:color w:val="auto"/>
        </w:rPr>
        <w:t>Series D Optional Redemption</w:t>
      </w:r>
      <w:r>
        <w:rPr>
          <w:rFonts w:ascii="Times New Roman" w:cs="Times New Roman" w:eastAsia="Times New Roman" w:hAnsi="Times New Roman"/>
          <w:sz w:val="18"/>
          <w:szCs w:val="18"/>
          <w:color w:val="auto"/>
        </w:rPr>
        <w:t>”), at the redemption price equal to $25.00 per Series D Preferred Share, plus an amount equal to all accumulated and unpaid distributions thereon, if any, to, but excluding, the date of redemption, whether or not declared. We may undertake multiple Series D Optional Redemptions. Any such redemption would be effected only out of funds legally available for such purpose and would be subject to compliance with the provisions of the instruments governing our outstanding indebtedness.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Optional Redemption upon a Rating Event</w:t>
      </w:r>
    </w:p>
    <w:p>
      <w:pPr>
        <w:spacing w:after="0" w:line="111" w:lineRule="exact"/>
        <w:rPr>
          <w:sz w:val="20"/>
          <w:szCs w:val="20"/>
          <w:color w:val="auto"/>
        </w:rPr>
      </w:pPr>
    </w:p>
    <w:p>
      <w:pPr>
        <w:jc w:val="both"/>
        <w:ind w:left="400" w:right="399" w:firstLine="351"/>
        <w:spacing w:after="0" w:line="248" w:lineRule="auto"/>
        <w:rPr>
          <w:sz w:val="20"/>
          <w:szCs w:val="20"/>
          <w:color w:val="auto"/>
        </w:rPr>
      </w:pPr>
      <w:r>
        <w:rPr>
          <w:rFonts w:ascii="Times New Roman" w:cs="Times New Roman" w:eastAsia="Times New Roman" w:hAnsi="Times New Roman"/>
          <w:sz w:val="18"/>
          <w:szCs w:val="18"/>
          <w:color w:val="auto"/>
        </w:rPr>
        <w:t>At any time within 120 days after the conclusion of any review or appeal process instituted by us following the occurrence of a Series D Rating Event (as defined below), we may, at our option, redeem the Series D Preferred Shares in whole, but not in part, prior to June 15, 2028, at a redemption price per Series D Preferred Share equal to $25.50 (102% of the liquidation preference of $25.00), plus an amount equal to all accumulated and unpaid distributions thereon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82" w:lineRule="exact"/>
        <w:rPr>
          <w:sz w:val="20"/>
          <w:szCs w:val="20"/>
          <w:color w:val="auto"/>
        </w:rPr>
      </w:pPr>
    </w:p>
    <w:p>
      <w:pPr>
        <w:jc w:val="both"/>
        <w:ind w:left="400" w:right="399" w:firstLine="351"/>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D Rating Event</w:t>
      </w:r>
      <w:r>
        <w:rPr>
          <w:rFonts w:ascii="Times New Roman" w:cs="Times New Roman" w:eastAsia="Times New Roman" w:hAnsi="Times New Roman"/>
          <w:sz w:val="18"/>
          <w:szCs w:val="18"/>
          <w:color w:val="auto"/>
        </w:rPr>
        <w:t>” means a change by any rating agency to the criteria employed by such rating agency as of March 15, 2023, for purposes of assigning ratings to securities with features similar to the Series D Preferred Shares, which change results in (i) any shortening of the length of time for which the criteria in effect as of March 15, 2023, are scheduled to be in effect with respect to the Series D Preferred Shares, or (ii) a lower equity credit being given to the Series D Preferred Shares than the equity credit that would have been assigned to the Series D Preferred Shares by such rating agency pursuant to the criteria in effect as of March 15, 2023.</w:t>
      </w: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Optional Redemption upon a Change of Control</w:t>
      </w:r>
    </w:p>
    <w:p>
      <w:pPr>
        <w:spacing w:after="0" w:line="111" w:lineRule="exact"/>
        <w:rPr>
          <w:sz w:val="20"/>
          <w:szCs w:val="20"/>
          <w:color w:val="auto"/>
        </w:rPr>
      </w:pPr>
    </w:p>
    <w:p>
      <w:pPr>
        <w:jc w:val="both"/>
        <w:ind w:left="400" w:right="399" w:firstLine="351"/>
        <w:spacing w:after="0" w:line="248" w:lineRule="auto"/>
        <w:rPr>
          <w:sz w:val="20"/>
          <w:szCs w:val="20"/>
          <w:color w:val="auto"/>
        </w:rPr>
      </w:pPr>
      <w:r>
        <w:rPr>
          <w:rFonts w:ascii="Times New Roman" w:cs="Times New Roman" w:eastAsia="Times New Roman" w:hAnsi="Times New Roman"/>
          <w:sz w:val="18"/>
          <w:szCs w:val="18"/>
          <w:color w:val="auto"/>
        </w:rPr>
        <w:t>If a Change of Control (as defined in the Series D Preferred Share Designation) occurs, we may, at our option, redeem the Series D Preferred Shares, in whole but not in part, prior to June 15, 2028 and within 60 days after the occurrence of such Change of Control, at a price of $25.25 (101% of the liquidation preference of $25.00) per Series D Preferred Share, plus an amount equal to all accumulated and unpaid distributions thereon, if any,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84" w:lineRule="exact"/>
        <w:rPr>
          <w:sz w:val="20"/>
          <w:szCs w:val="20"/>
          <w:color w:val="auto"/>
        </w:rPr>
      </w:pPr>
    </w:p>
    <w:p>
      <w:pPr>
        <w:jc w:val="both"/>
        <w:ind w:left="400" w:right="419" w:firstLine="351"/>
        <w:spacing w:after="0" w:line="252" w:lineRule="auto"/>
        <w:rPr>
          <w:sz w:val="20"/>
          <w:szCs w:val="20"/>
          <w:color w:val="auto"/>
        </w:rPr>
      </w:pPr>
      <w:r>
        <w:rPr>
          <w:rFonts w:ascii="Times New Roman" w:cs="Times New Roman" w:eastAsia="Times New Roman" w:hAnsi="Times New Roman"/>
          <w:sz w:val="18"/>
          <w:szCs w:val="18"/>
          <w:color w:val="auto"/>
        </w:rPr>
        <w:t>If (i) a Change of Control occurs (whether before, on or after June 15, 2028) and (ii) we do not give notice prior to the 31st day following the Change of Control to redeem all of the outstanding Series D Preferred Shares, the distribution rate per annum on the Series D Preferred Shares will increase by 500 basis points, beginning on the 31st day following such Change of Control.</w:t>
      </w:r>
    </w:p>
    <w:p>
      <w:pPr>
        <w:spacing w:after="0" w:line="2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Optional Redemption upon a Series D Preferred Share Tax Redemption Event</w:t>
      </w:r>
    </w:p>
    <w:p>
      <w:pPr>
        <w:spacing w:after="0" w:line="111" w:lineRule="exact"/>
        <w:rPr>
          <w:sz w:val="20"/>
          <w:szCs w:val="20"/>
          <w:color w:val="auto"/>
        </w:rPr>
      </w:pPr>
    </w:p>
    <w:p>
      <w:pPr>
        <w:jc w:val="both"/>
        <w:ind w:left="400" w:right="419" w:firstLine="351"/>
        <w:spacing w:after="0" w:line="283" w:lineRule="auto"/>
        <w:rPr>
          <w:sz w:val="20"/>
          <w:szCs w:val="20"/>
          <w:color w:val="auto"/>
        </w:rPr>
      </w:pPr>
      <w:r>
        <w:rPr>
          <w:rFonts w:ascii="Times New Roman" w:cs="Times New Roman" w:eastAsia="Times New Roman" w:hAnsi="Times New Roman"/>
          <w:sz w:val="16"/>
          <w:szCs w:val="16"/>
          <w:color w:val="auto"/>
        </w:rPr>
        <w:t>If a Series D Preferred Share Tax Redemption Event (as defined in the Series D Preferred Share Designation) occurs, we may, at our option, redeem the Series D Preferred Shares, in whole but not in part, prior to June 15, 2028, at a redemption price of $25.00 per Series D Preferred Share, plus an amount equal to all accumulated and unpaid distributions thereon, if any, to, but excluding, the date of redemption, whether or not declared; provided that no such redemption may occur if the Series D Preferred Share Tax Redemption Event results directly from any action taken by the Company with the principal purpose of triggering the optional redemption pursuant to this paragraph. Any such redemption would be effected only out of funds legally available for such purpose and would be subject to compliance with the provisions of the instruments governing our outstanding indebtedness.</w:t>
      </w:r>
    </w:p>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13" w:lineRule="exact"/>
        <w:rPr>
          <w:sz w:val="20"/>
          <w:szCs w:val="20"/>
          <w:color w:val="auto"/>
        </w:rPr>
      </w:pPr>
    </w:p>
    <w:p>
      <w:pPr>
        <w:jc w:val="both"/>
        <w:ind w:left="400" w:right="399" w:firstLine="351"/>
        <w:spacing w:after="0" w:line="249" w:lineRule="auto"/>
        <w:rPr>
          <w:sz w:val="20"/>
          <w:szCs w:val="20"/>
          <w:color w:val="auto"/>
        </w:rPr>
      </w:pPr>
      <w:r>
        <w:rPr>
          <w:rFonts w:ascii="Times New Roman" w:cs="Times New Roman" w:eastAsia="Times New Roman" w:hAnsi="Times New Roman"/>
          <w:sz w:val="18"/>
          <w:szCs w:val="18"/>
          <w:color w:val="auto"/>
        </w:rPr>
        <w:t>Owners of Series D Preferred Shares do not have any voting rights, except as set forth below or as otherwise required by applicable law. To the extent that owners of Series D Preferred Shares are entitled to vote, each holder of Series D Preferred Shares will have one vote per share, except that when shares of any class or series of Parity Securities have the right to vote with the Series D Preferred Shares as a single class on any matter, the Series D Preferred Shares and the Parity Securities will have one vote for each $25.00 of liquidation preference (for the avoidance of doubt, excluding accumulated distributions).</w:t>
      </w:r>
    </w:p>
    <w:p>
      <w:pPr>
        <w:spacing w:after="0" w:line="82"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Whenever dividends on any Series D Preferred Shares are in arrears for six or more quarterly Distribution Periods, whether or not consecutive, the upper limit of the number of directors then constituting our board of directors will be automatically increased by two (if not already increased by two by reason of the election of directors by the holders of any Other Voting Preferred Shares (as defined below) and the holders of Series D Preferred Shares, voting together as a single class). The holders of the Series D Preferred Shares, voting together as a single class with the holders of any series of Parity Securities then outstanding upon which like voting rights have been conferred and are exercisable (any such series, the “</w:t>
      </w:r>
      <w:r>
        <w:rPr>
          <w:rFonts w:ascii="Times New Roman" w:cs="Times New Roman" w:eastAsia="Times New Roman" w:hAnsi="Times New Roman"/>
          <w:sz w:val="18"/>
          <w:szCs w:val="18"/>
          <w:b w:val="1"/>
          <w:bCs w:val="1"/>
          <w:color w:val="auto"/>
        </w:rPr>
        <w:t>Other Voting Preferred Shares</w:t>
      </w:r>
      <w:r>
        <w:rPr>
          <w:rFonts w:ascii="Times New Roman" w:cs="Times New Roman" w:eastAsia="Times New Roman" w:hAnsi="Times New Roman"/>
          <w:sz w:val="18"/>
          <w:szCs w:val="18"/>
          <w:color w:val="auto"/>
        </w:rPr>
        <w:t>”), will be entitled to vote, by the affirmative vote of a majority of the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25" w:name="page26"/>
    <w:bookmarkEnd w:id="2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2" w:lineRule="exact"/>
        <w:rPr>
          <w:sz w:val="20"/>
          <w:szCs w:val="20"/>
          <w:color w:val="auto"/>
        </w:rPr>
      </w:pPr>
    </w:p>
    <w:p>
      <w:pPr>
        <w:jc w:val="both"/>
        <w:ind w:left="400" w:right="399"/>
        <w:spacing w:after="0" w:line="246" w:lineRule="auto"/>
        <w:rPr>
          <w:sz w:val="20"/>
          <w:szCs w:val="20"/>
          <w:color w:val="auto"/>
        </w:rPr>
      </w:pPr>
      <w:r>
        <w:rPr>
          <w:rFonts w:ascii="Times New Roman" w:cs="Times New Roman" w:eastAsia="Times New Roman" w:hAnsi="Times New Roman"/>
          <w:sz w:val="18"/>
          <w:szCs w:val="18"/>
          <w:color w:val="auto"/>
        </w:rPr>
        <w:t>votes entitled to be cast, for the appointment of two additional directors at a special meeting of the holders of the Series D Preferred Shares and such Other Voting Preferred Shares and at each subsequent annual meeting of the holders of our ordinary shares at which such directors are up for re-appointment; provided that when all distributions accumulated on the Series D Preferred Shares for all past Distribution Periods and the then current Distribution Period shall have been fully paid, the right of holders of the Series D Preferred Shares to appoint any directors will cease and, unless there are any Other Voting Preferred Shares entitled to vote for the election of directors, the term of office of those two directors will forthwith terminate, the office of any directors appointed by holders of the Series D Preferred Shares shall automatically be vacated and the upper limit of the number of directors constituting the board of directors shall be automatically reduced by two. However, the right of the holders of the Series D Preferred Shares and any Other Voting Preferred Shares to appoint two additional directors will again vest if and whenever six additional quarterly distributions have not been declared and paid, as described above. In no event shall the holders of the Series D Preferred Shares be entitled pursuant to these voting rights to elect a director that would cause us to fail to satisfy a requirement relating to director independence of any national securities exchange or quotation system on which any class or series of our share capital is listed or quoted. For the avoidance of doubt, in no event shall the total number of directors elected by holders of the Series D Preferred Shares and any Other Voting Preferred Shares exceed two.</w:t>
      </w:r>
    </w:p>
    <w:p>
      <w:pPr>
        <w:spacing w:after="0" w:line="83" w:lineRule="exact"/>
        <w:rPr>
          <w:sz w:val="20"/>
          <w:szCs w:val="20"/>
          <w:color w:val="auto"/>
        </w:rPr>
      </w:pPr>
    </w:p>
    <w:p>
      <w:pPr>
        <w:jc w:val="both"/>
        <w:ind w:left="400" w:right="399" w:firstLine="351"/>
        <w:spacing w:after="0" w:line="278" w:lineRule="auto"/>
        <w:rPr>
          <w:sz w:val="20"/>
          <w:szCs w:val="20"/>
          <w:color w:val="auto"/>
        </w:rPr>
      </w:pPr>
      <w:r>
        <w:rPr>
          <w:rFonts w:ascii="Times New Roman" w:cs="Times New Roman" w:eastAsia="Times New Roman" w:hAnsi="Times New Roman"/>
          <w:sz w:val="16"/>
          <w:szCs w:val="16"/>
          <w:color w:val="auto"/>
        </w:rPr>
        <w:t>While any Series D Preferred Shares remain outstanding, the following actions will be deemed a variation of the rights of the Series D Preferred Shares and all Other Voting Preferred Shares, acting as a single class, (i) authorize, create or issue any Senior Securities or reclassify any authorized share capital into any Senior Securities or issue any obligation or security convertible into or evidencing the right to purchase any Senior Securities or (ii) amend, alter or repeal any provision of the Articles, including by merger, consolidation or otherwise, so as to adversely affect the powers, preferences or special rights of the Series D Preferred Shares, and shall in each case of clause (i) and (ii) require the approval of the holders of the Series D Preferred Shares and all Other Voting Preferred Shares in accordance with and following the procedures set out in the Articles; provided that in the case of the foregoing clause (ii), if such amendment affects materially and adversely the rights, designations, preferences, powers and duties of one or more but not all of the classes or series of the Other Voting Preferred Shares (including the Series D Preferred Shares for this purpose), the holders of the outstanding shares of the classes or series so affected, voting as a class, is required in lieu of (or, if such consent is required by law, in addition to) the consent of the holders of the Other Voting Preferred Shares (including the Series D Preferred Shares for this purpose) in accordance with and following the procedures set out in the Articles. However, we may create additional series or classes of Parity Securities and Junior Securities and issue additional classes or series of Parity Securities and Junior Securities without notice to or the consent of any holder of the Series D Preferred Shares; provided, however, that, in the case of Parity Securities, the full cumulative distributions for all past Distribution Periods on all outstanding Series D Preferred Shares shall have been or contemporaneously are declared and paid in full or declared and a sum sufficient for the payment of those distributions has been set aside.</w:t>
      </w:r>
    </w:p>
    <w:p>
      <w:pPr>
        <w:spacing w:after="0" w:line="274" w:lineRule="exact"/>
        <w:rPr>
          <w:sz w:val="20"/>
          <w:szCs w:val="20"/>
          <w:color w:val="auto"/>
        </w:rPr>
      </w:pPr>
    </w:p>
    <w:p>
      <w:pPr>
        <w:jc w:val="both"/>
        <w:ind w:left="400" w:right="399" w:firstLine="351"/>
        <w:spacing w:after="0" w:line="269" w:lineRule="auto"/>
        <w:rPr>
          <w:sz w:val="20"/>
          <w:szCs w:val="20"/>
          <w:color w:val="auto"/>
        </w:rPr>
      </w:pPr>
      <w:r>
        <w:rPr>
          <w:rFonts w:ascii="Times New Roman" w:cs="Times New Roman" w:eastAsia="Times New Roman" w:hAnsi="Times New Roman"/>
          <w:sz w:val="18"/>
          <w:szCs w:val="18"/>
          <w:color w:val="auto"/>
        </w:rPr>
        <w:t>Notwithstanding the foregoing, none of the following will be deemed to affect the powers, preferences or special rights of the Series D Preferred Shares:</w:t>
      </w:r>
    </w:p>
    <w:p>
      <w:pPr>
        <w:spacing w:after="0" w:line="63" w:lineRule="exact"/>
        <w:rPr>
          <w:sz w:val="20"/>
          <w:szCs w:val="20"/>
          <w:color w:val="auto"/>
        </w:rPr>
      </w:pPr>
    </w:p>
    <w:p>
      <w:pPr>
        <w:jc w:val="both"/>
        <w:ind w:left="1080" w:right="419" w:hanging="335"/>
        <w:spacing w:after="0" w:line="250"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the amount of authorized ordinary shares or authorized preferred shares, or any increase or decrease in the number of shares of any series of preferred shares, or the authorization, creation and issuance of other classes or series of share capital, in each case ranking on parity with or junior to the Series D Preferred Shares as to distributions or distribution of assets upon our liquidation, dissolution or winding up;</w:t>
      </w:r>
    </w:p>
    <w:p>
      <w:pPr>
        <w:spacing w:after="0" w:line="81" w:lineRule="exact"/>
        <w:rPr>
          <w:rFonts w:ascii="Times New Roman" w:cs="Times New Roman" w:eastAsia="Times New Roman" w:hAnsi="Times New Roman"/>
          <w:sz w:val="18"/>
          <w:szCs w:val="18"/>
          <w:color w:val="auto"/>
        </w:rPr>
      </w:pPr>
    </w:p>
    <w:p>
      <w:pPr>
        <w:ind w:left="1080" w:right="419" w:hanging="335"/>
        <w:spacing w:after="0" w:line="332" w:lineRule="auto"/>
        <w:tabs>
          <w:tab w:leader="none" w:pos="10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merger or consolidation of us with or into another entity in which the Series D Preferred Shares remain outstanding with identical terms as existing immediately prior to such merger or consolidation; and</w:t>
      </w:r>
    </w:p>
    <w:p>
      <w:pPr>
        <w:spacing w:after="0" w:line="17" w:lineRule="exact"/>
        <w:rPr>
          <w:rFonts w:ascii="Times New Roman" w:cs="Times New Roman" w:eastAsia="Times New Roman" w:hAnsi="Times New Roman"/>
          <w:sz w:val="16"/>
          <w:szCs w:val="16"/>
          <w:color w:val="auto"/>
        </w:rPr>
      </w:pPr>
    </w:p>
    <w:p>
      <w:pPr>
        <w:jc w:val="both"/>
        <w:ind w:left="1080" w:right="419" w:hanging="335"/>
        <w:spacing w:after="0" w:line="25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of us with or into another entity in which the Series D Preferred Shares are converted into or exchanged for preference securities of the surviving entity or any entity, directly or indirectly, controlling such surviving entity and such new preference securities have terms identical (other than the identity of the issuer) to the terms of the Series D Preferred Shares.</w:t>
      </w:r>
    </w:p>
    <w:p>
      <w:pPr>
        <w:spacing w:after="0" w:line="79" w:lineRule="exact"/>
        <w:rPr>
          <w:sz w:val="20"/>
          <w:szCs w:val="20"/>
          <w:color w:val="auto"/>
        </w:rPr>
      </w:pPr>
    </w:p>
    <w:p>
      <w:pPr>
        <w:jc w:val="both"/>
        <w:ind w:left="400" w:right="399" w:firstLine="351"/>
        <w:spacing w:after="0" w:line="252" w:lineRule="auto"/>
        <w:rPr>
          <w:sz w:val="20"/>
          <w:szCs w:val="20"/>
          <w:color w:val="auto"/>
        </w:rPr>
      </w:pPr>
      <w:r>
        <w:rPr>
          <w:rFonts w:ascii="Times New Roman" w:cs="Times New Roman" w:eastAsia="Times New Roman" w:hAnsi="Times New Roman"/>
          <w:sz w:val="18"/>
          <w:szCs w:val="18"/>
          <w:color w:val="auto"/>
        </w:rPr>
        <w:t>The foregoing voting rights of the holders of Series D Preferred Shares shall not apply if, at or prior to the time when the act with respect to which the vote would otherwise be required shall be effected, all outstanding Series D Preferred Shares shall have been redeemed or called for redemption upon proper notice and we shall have set aside sufficient funds for the benefit of holders of Series D Preferred Shares to effect the redemption.</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Forum Selection</w:t>
      </w:r>
    </w:p>
    <w:p>
      <w:pPr>
        <w:spacing w:after="0" w:line="113" w:lineRule="exact"/>
        <w:rPr>
          <w:sz w:val="20"/>
          <w:szCs w:val="20"/>
          <w:color w:val="auto"/>
        </w:rPr>
      </w:pPr>
    </w:p>
    <w:p>
      <w:pPr>
        <w:jc w:val="both"/>
        <w:ind w:left="400" w:right="399" w:firstLine="351"/>
        <w:spacing w:after="0" w:line="256" w:lineRule="auto"/>
        <w:rPr>
          <w:sz w:val="20"/>
          <w:szCs w:val="20"/>
          <w:color w:val="auto"/>
        </w:rPr>
      </w:pPr>
      <w:r>
        <w:rPr>
          <w:rFonts w:ascii="Times New Roman" w:cs="Times New Roman" w:eastAsia="Times New Roman" w:hAnsi="Times New Roman"/>
          <w:sz w:val="18"/>
          <w:szCs w:val="18"/>
          <w:color w:val="auto"/>
        </w:rPr>
        <w:t>The Articles provide for submission to the exclusive jurisdiction of the courts of the Cayman Islands in connection with any claim or dispute arising out of or in connection with the constitutional documents of the Company or otherwise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2" w:lineRule="exact"/>
        <w:rPr>
          <w:sz w:val="20"/>
          <w:szCs w:val="20"/>
          <w:color w:val="auto"/>
        </w:rPr>
      </w:pPr>
    </w:p>
    <w:p>
      <w:pPr>
        <w:jc w:val="both"/>
        <w:ind w:left="400" w:right="399"/>
        <w:spacing w:after="0" w:line="252" w:lineRule="auto"/>
        <w:rPr>
          <w:sz w:val="20"/>
          <w:szCs w:val="20"/>
          <w:color w:val="auto"/>
        </w:rPr>
      </w:pPr>
      <w:r>
        <w:rPr>
          <w:rFonts w:ascii="Times New Roman" w:cs="Times New Roman" w:eastAsia="Times New Roman" w:hAnsi="Times New Roman"/>
          <w:sz w:val="18"/>
          <w:szCs w:val="18"/>
          <w:color w:val="auto"/>
        </w:rPr>
        <w:t>related in any way to each Company shareholder’s shareholding in the Company, other than any action or suits brought to enforce any liability or duty created by the Securities Act, the Exchange Act, or any claim for which the federal district courts of the United States of America are, as a matter of the laws of the United States, the sole and exclusive forum for determination of such a claim.</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1" w:lineRule="exact"/>
        <w:rPr>
          <w:sz w:val="20"/>
          <w:szCs w:val="20"/>
          <w:color w:val="auto"/>
        </w:rPr>
      </w:pPr>
    </w:p>
    <w:p>
      <w:pPr>
        <w:jc w:val="both"/>
        <w:ind w:left="400" w:right="419" w:firstLine="351"/>
        <w:spacing w:after="0" w:line="256" w:lineRule="auto"/>
        <w:rPr>
          <w:sz w:val="20"/>
          <w:szCs w:val="20"/>
          <w:color w:val="auto"/>
        </w:rPr>
      </w:pPr>
      <w:r>
        <w:rPr>
          <w:rFonts w:ascii="Times New Roman" w:cs="Times New Roman" w:eastAsia="Times New Roman" w:hAnsi="Times New Roman"/>
          <w:sz w:val="18"/>
          <w:szCs w:val="18"/>
          <w:color w:val="auto"/>
        </w:rPr>
        <w:t>Dividends are recorded if and when declared by the board of directors. The board of directors of FTAI declared cash dividends of $1.35, $1.20 and $1.20 per ordinary share during each of the years ended December 31, 2025, 2024 and 2023, respectively.</w:t>
      </w:r>
    </w:p>
    <w:p>
      <w:pPr>
        <w:spacing w:after="0" w:line="75" w:lineRule="exact"/>
        <w:rPr>
          <w:sz w:val="20"/>
          <w:szCs w:val="20"/>
          <w:color w:val="auto"/>
        </w:rPr>
      </w:pPr>
    </w:p>
    <w:p>
      <w:pPr>
        <w:jc w:val="both"/>
        <w:ind w:left="400" w:right="399" w:firstLine="351"/>
        <w:spacing w:after="0" w:line="252" w:lineRule="auto"/>
        <w:rPr>
          <w:sz w:val="20"/>
          <w:szCs w:val="20"/>
          <w:color w:val="auto"/>
        </w:rPr>
      </w:pPr>
      <w:r>
        <w:rPr>
          <w:rFonts w:ascii="Times New Roman" w:cs="Times New Roman" w:eastAsia="Times New Roman" w:hAnsi="Times New Roman"/>
          <w:sz w:val="18"/>
          <w:szCs w:val="18"/>
          <w:color w:val="auto"/>
        </w:rPr>
        <w:t>Additionally, the board of directors of FTAI declared cash dividends on the Series C Preferred Shares of $2.06, $2.06 and $2.06 per share for the years ended December 31, 2025, 2024 and 2023, respectively and the Series D Preferred Shares of $2.38, $2.38 and $1.78 per share for the years ended December 31, 2025, 2024 and 2023, respectively.</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Exempted Company</w:t>
      </w:r>
    </w:p>
    <w:p>
      <w:pPr>
        <w:spacing w:after="0" w:line="111" w:lineRule="exact"/>
        <w:rPr>
          <w:sz w:val="20"/>
          <w:szCs w:val="20"/>
          <w:color w:val="auto"/>
        </w:rPr>
      </w:pPr>
    </w:p>
    <w:p>
      <w:pPr>
        <w:jc w:val="both"/>
        <w:ind w:left="400" w:right="399" w:firstLine="351"/>
        <w:spacing w:after="0" w:line="249" w:lineRule="auto"/>
        <w:rPr>
          <w:sz w:val="20"/>
          <w:szCs w:val="20"/>
          <w:color w:val="auto"/>
        </w:rPr>
      </w:pPr>
      <w:r>
        <w:rPr>
          <w:rFonts w:ascii="Times New Roman" w:cs="Times New Roman" w:eastAsia="Times New Roman" w:hAnsi="Times New Roman"/>
          <w:sz w:val="18"/>
          <w:szCs w:val="18"/>
          <w:color w:val="auto"/>
        </w:rPr>
        <w:t>The Company is an exempted company with limited liability incorporated under the laws of Cayman Islands. The Companies Act (As Revised) of the Cayman Islands (the “</w:t>
      </w:r>
      <w:r>
        <w:rPr>
          <w:rFonts w:ascii="Times New Roman" w:cs="Times New Roman" w:eastAsia="Times New Roman" w:hAnsi="Times New Roman"/>
          <w:sz w:val="18"/>
          <w:szCs w:val="18"/>
          <w:b w:val="1"/>
          <w:bCs w:val="1"/>
          <w:color w:val="auto"/>
        </w:rPr>
        <w:t>Cayman Companies Act</w:t>
      </w:r>
      <w:r>
        <w:rPr>
          <w:rFonts w:ascii="Times New Roman" w:cs="Times New Roman" w:eastAsia="Times New Roman" w:hAnsi="Times New Roman"/>
          <w:sz w:val="18"/>
          <w:szCs w:val="18"/>
          <w:color w:val="auto"/>
        </w:rPr>
        <w: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82" w:lineRule="exact"/>
        <w:rPr>
          <w:sz w:val="20"/>
          <w:szCs w:val="20"/>
          <w:color w:val="auto"/>
        </w:rPr>
      </w:pPr>
    </w:p>
    <w:p>
      <w:pPr>
        <w:ind w:left="1080" w:right="419" w:hanging="335"/>
        <w:spacing w:after="0" w:line="269"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file an annual return of its shareholders with the registrar of Companies of the Cayman Islands;</w:t>
      </w:r>
    </w:p>
    <w:p>
      <w:pPr>
        <w:spacing w:after="0" w:line="62"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open to inspection;</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general meeting;</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no par value shares;</w:t>
      </w:r>
    </w:p>
    <w:p>
      <w:pPr>
        <w:spacing w:after="0" w:line="109"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usually given for 20 years in the first instance);</w:t>
      </w:r>
    </w:p>
    <w:p>
      <w:pPr>
        <w:spacing w:after="0" w:line="62"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62"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segregated portfolio company.</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Anti-Takeover Effects of Cayman Islands Law and Our Articles</w:t>
      </w:r>
    </w:p>
    <w:p>
      <w:pPr>
        <w:spacing w:after="0" w:line="111" w:lineRule="exact"/>
        <w:rPr>
          <w:sz w:val="20"/>
          <w:szCs w:val="20"/>
          <w:color w:val="auto"/>
        </w:rPr>
      </w:pPr>
    </w:p>
    <w:p>
      <w:pPr>
        <w:jc w:val="both"/>
        <w:ind w:left="400" w:right="399" w:firstLine="351"/>
        <w:spacing w:after="0" w:line="252" w:lineRule="auto"/>
        <w:rPr>
          <w:sz w:val="20"/>
          <w:szCs w:val="20"/>
          <w:color w:val="auto"/>
        </w:rPr>
      </w:pPr>
      <w:r>
        <w:rPr>
          <w:rFonts w:ascii="Times New Roman" w:cs="Times New Roman" w:eastAsia="Times New Roman" w:hAnsi="Times New Roman"/>
          <w:sz w:val="18"/>
          <w:szCs w:val="18"/>
          <w:color w:val="auto"/>
        </w:rPr>
        <w:t>The following is a summary of certain provisions of our Articles that may function to have an anti-takeover effect and may delay, deter or prevent a tender offer or takeover attempt that a shareholder might consider to be in its best interest, including those attempts that might result in a premium over the market price for the shares held by shareholders.</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11"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Our authorized but unissued ordinary shares and preferred shares will be available for future issuance without obtaining shareholder approval. These additional shares may be utilized for a variety of corporate purposes, including future offerings to raise additional capital and corporate acquisitions. The existence of authorized but unissued ordinary shares and preferred shares could render more difficult or discourage an attempt to obtain control over us by means of a proxy contest, tender offer, merger or otherwise.</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Other Provisions of Our Articles</w:t>
      </w:r>
    </w:p>
    <w:p>
      <w:pPr>
        <w:spacing w:after="0" w:line="111" w:lineRule="exact"/>
        <w:rPr>
          <w:sz w:val="20"/>
          <w:szCs w:val="20"/>
          <w:color w:val="auto"/>
        </w:rPr>
      </w:pPr>
    </w:p>
    <w:p>
      <w:pPr>
        <w:jc w:val="both"/>
        <w:ind w:left="400" w:right="399" w:firstLine="351"/>
        <w:spacing w:after="0" w:line="252" w:lineRule="auto"/>
        <w:rPr>
          <w:sz w:val="20"/>
          <w:szCs w:val="20"/>
          <w:color w:val="auto"/>
        </w:rPr>
      </w:pPr>
      <w:r>
        <w:rPr>
          <w:rFonts w:ascii="Times New Roman" w:cs="Times New Roman" w:eastAsia="Times New Roman" w:hAnsi="Times New Roman"/>
          <w:sz w:val="18"/>
          <w:szCs w:val="18"/>
          <w:color w:val="auto"/>
        </w:rPr>
        <w:t>Our Articles provide that our board shall consist of not fewer than three and not more than nine directors as the board of directors may from time to time determine. Our board of directors consists of seven directors and is divided into three classes that are, as nearly as possible, of equal size. Each class of directors is elected for a three-year term of office,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2" w:lineRule="exact"/>
        <w:rPr>
          <w:sz w:val="20"/>
          <w:szCs w:val="20"/>
          <w:color w:val="auto"/>
        </w:rPr>
      </w:pPr>
    </w:p>
    <w:p>
      <w:pPr>
        <w:jc w:val="both"/>
        <w:ind w:left="400" w:right="399"/>
        <w:spacing w:after="0" w:line="249" w:lineRule="auto"/>
        <w:rPr>
          <w:sz w:val="20"/>
          <w:szCs w:val="20"/>
          <w:color w:val="auto"/>
        </w:rPr>
      </w:pPr>
      <w:r>
        <w:rPr>
          <w:rFonts w:ascii="Times New Roman" w:cs="Times New Roman" w:eastAsia="Times New Roman" w:hAnsi="Times New Roman"/>
          <w:sz w:val="18"/>
          <w:szCs w:val="18"/>
          <w:color w:val="auto"/>
        </w:rPr>
        <w:t>but the terms are staggered so that the term of only one class of directors expires at each annual general meeting. We believe that classification of our board of directors helps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 are generally required to effect a change in a majority of our board of directors.</w:t>
      </w:r>
    </w:p>
    <w:p>
      <w:pPr>
        <w:spacing w:after="0" w:line="82" w:lineRule="exact"/>
        <w:rPr>
          <w:sz w:val="20"/>
          <w:szCs w:val="20"/>
          <w:color w:val="auto"/>
        </w:rPr>
      </w:pPr>
    </w:p>
    <w:p>
      <w:pPr>
        <w:jc w:val="both"/>
        <w:ind w:left="400" w:right="419" w:firstLine="351"/>
        <w:spacing w:after="0" w:line="303" w:lineRule="auto"/>
        <w:rPr>
          <w:sz w:val="20"/>
          <w:szCs w:val="20"/>
          <w:color w:val="auto"/>
        </w:rPr>
      </w:pPr>
      <w:r>
        <w:rPr>
          <w:rFonts w:ascii="Times New Roman" w:cs="Times New Roman" w:eastAsia="Times New Roman" w:hAnsi="Times New Roman"/>
          <w:sz w:val="16"/>
          <w:szCs w:val="16"/>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shareholders to be in their best interest.</w:t>
      </w:r>
    </w:p>
    <w:p>
      <w:pPr>
        <w:spacing w:after="0" w:line="41" w:lineRule="exact"/>
        <w:rPr>
          <w:sz w:val="20"/>
          <w:szCs w:val="20"/>
          <w:color w:val="auto"/>
        </w:rPr>
      </w:pPr>
    </w:p>
    <w:p>
      <w:pPr>
        <w:jc w:val="both"/>
        <w:ind w:left="400" w:right="399" w:firstLine="351"/>
        <w:spacing w:after="0" w:line="269" w:lineRule="auto"/>
        <w:rPr>
          <w:sz w:val="20"/>
          <w:szCs w:val="20"/>
          <w:color w:val="auto"/>
        </w:rPr>
      </w:pPr>
      <w:r>
        <w:rPr>
          <w:rFonts w:ascii="Times New Roman" w:cs="Times New Roman" w:eastAsia="Times New Roman" w:hAnsi="Times New Roman"/>
          <w:sz w:val="18"/>
          <w:szCs w:val="18"/>
          <w:color w:val="auto"/>
        </w:rPr>
        <w:t>In addition, our Articles provide that a director may be removed, only for cause, and only by the affirmative vote of at least 80% of the then issued and outstanding ordinary shares entitled to vote in the election of directors.</w:t>
      </w:r>
    </w:p>
    <w:p>
      <w:pPr>
        <w:spacing w:after="0" w:line="63" w:lineRule="exact"/>
        <w:rPr>
          <w:sz w:val="20"/>
          <w:szCs w:val="20"/>
          <w:color w:val="auto"/>
        </w:rPr>
      </w:pPr>
    </w:p>
    <w:p>
      <w:pPr>
        <w:jc w:val="both"/>
        <w:ind w:left="400" w:right="419" w:firstLine="351"/>
        <w:spacing w:after="0" w:line="256" w:lineRule="auto"/>
        <w:rPr>
          <w:sz w:val="20"/>
          <w:szCs w:val="20"/>
          <w:color w:val="auto"/>
        </w:rPr>
      </w:pPr>
      <w:r>
        <w:rPr>
          <w:rFonts w:ascii="Times New Roman" w:cs="Times New Roman" w:eastAsia="Times New Roman" w:hAnsi="Times New Roman"/>
          <w:sz w:val="18"/>
          <w:szCs w:val="18"/>
          <w:color w:val="auto"/>
        </w:rPr>
        <w:t>In addition, our board of directors has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75" w:lineRule="exact"/>
        <w:rPr>
          <w:sz w:val="20"/>
          <w:szCs w:val="20"/>
          <w:color w:val="auto"/>
        </w:rPr>
      </w:pPr>
    </w:p>
    <w:p>
      <w:pPr>
        <w:jc w:val="both"/>
        <w:ind w:left="400" w:right="419" w:firstLine="351"/>
        <w:spacing w:after="0" w:line="256" w:lineRule="auto"/>
        <w:rPr>
          <w:sz w:val="20"/>
          <w:szCs w:val="20"/>
          <w:color w:val="auto"/>
        </w:rPr>
      </w:pPr>
      <w:r>
        <w:rPr>
          <w:rFonts w:ascii="Times New Roman" w:cs="Times New Roman" w:eastAsia="Times New Roman" w:hAnsi="Times New Roman"/>
          <w:sz w:val="18"/>
          <w:szCs w:val="18"/>
          <w:color w:val="auto"/>
        </w:rPr>
        <w:t>Pursuant to our Articles, preferred shares may be issued from time to time, and the board of directors is authorized to determine and alter all rights, designations, preferences, powers and duties without limitation. Our Articles do not provide our shareholders with the ability to call general meetings of the shareholders.</w:t>
      </w:r>
    </w:p>
    <w:p>
      <w:pPr>
        <w:spacing w:after="0" w:line="73" w:lineRule="exact"/>
        <w:rPr>
          <w:sz w:val="20"/>
          <w:szCs w:val="20"/>
          <w:color w:val="auto"/>
        </w:rPr>
      </w:pPr>
    </w:p>
    <w:p>
      <w:pPr>
        <w:jc w:val="both"/>
        <w:ind w:left="400" w:right="399" w:firstLine="351"/>
        <w:spacing w:after="0" w:line="271" w:lineRule="auto"/>
        <w:rPr>
          <w:sz w:val="20"/>
          <w:szCs w:val="20"/>
          <w:color w:val="auto"/>
        </w:rPr>
      </w:pPr>
      <w:r>
        <w:rPr>
          <w:rFonts w:ascii="Times New Roman" w:cs="Times New Roman" w:eastAsia="Times New Roman" w:hAnsi="Times New Roman"/>
          <w:sz w:val="18"/>
          <w:szCs w:val="18"/>
          <w:color w:val="auto"/>
        </w:rPr>
        <w:t xml:space="preserve">See also, </w:t>
      </w:r>
      <w:r>
        <w:rPr>
          <w:rFonts w:ascii="Times New Roman" w:cs="Times New Roman" w:eastAsia="Times New Roman" w:hAnsi="Times New Roman"/>
          <w:sz w:val="18"/>
          <w:szCs w:val="18"/>
          <w:i w:val="1"/>
          <w:iCs w:val="1"/>
          <w:color w:val="auto"/>
        </w:rPr>
        <w:t>“Series C Preferred Shares-Optional Redemption upon a Change of Control”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“Series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Preferred Shares-Optional Redemption upon a Change of Control.”</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Ability of Our Shareholders to Act</w:t>
      </w:r>
    </w:p>
    <w:p>
      <w:pPr>
        <w:spacing w:after="0" w:line="111" w:lineRule="exact"/>
        <w:rPr>
          <w:sz w:val="20"/>
          <w:szCs w:val="20"/>
          <w:color w:val="auto"/>
        </w:rPr>
      </w:pPr>
    </w:p>
    <w:p>
      <w:pPr>
        <w:jc w:val="both"/>
        <w:ind w:left="400" w:right="399" w:firstLine="351"/>
        <w:spacing w:after="0" w:line="249" w:lineRule="auto"/>
        <w:rPr>
          <w:sz w:val="20"/>
          <w:szCs w:val="20"/>
          <w:color w:val="auto"/>
        </w:rPr>
      </w:pPr>
      <w:r>
        <w:rPr>
          <w:rFonts w:ascii="Times New Roman" w:cs="Times New Roman" w:eastAsia="Times New Roman" w:hAnsi="Times New Roman"/>
          <w:sz w:val="18"/>
          <w:szCs w:val="18"/>
          <w:color w:val="auto"/>
        </w:rPr>
        <w:t>Our Articles do not permit our shareholders to call general meetings. General meetings of shareholders may be called by the Board of Directors, the Chief Executive Officer, the Chairperson or a committee of the Board of Directors that has been duly designated by the Board of Directors and whose powers include the authority to call such meetings. Written notice of any general meeting so called shall be given to each shareholder of record entitled to vote at such meeting not less than 10 or more than 60 days before the date of such meeting, unless otherwise required by law.</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Articles do not permit our shareholders to pass resolutions in writing.</w:t>
      </w:r>
    </w:p>
    <w:p>
      <w:pPr>
        <w:spacing w:after="0" w:line="109"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Our Articles provide that nominations of persons for election to our board of directors at any annual general meeting, or at any extraordinary meeting of our shareholders called for the purpose of electing directors, may be made (a) by or at the direction of our board of directors or (b) by certain shareholders. In addition to any other applicable requirements, for business to be properly brought before an annual general meeting by a shareholder, such shareholder must have given timely notice thereof in proper written form. To be timely, a shareholder’s notice must be delivered to or mailed and received at our registered office (i) in the case of an annual general meeting, not less than 90 days nor more than 120 days prior to the anniversary date of the immediately preceding annual general meeting; and (ii) in the case of an extraordinary meeting, not later than the tenth day following the day on which such notice of the date of the extraordinary meeting was mailed or such public disclosure of the date of the extraordinary meeting was made, whichever first occurs.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Directors and Officers</w:t>
      </w:r>
    </w:p>
    <w:p>
      <w:pPr>
        <w:spacing w:after="0" w:line="111"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Our Articles provide that our directors shall not, to the maximum extent permitted by law, be liable to us for any loss or damage incurred by us as a result (whether direct or indirect) of the carrying out of their functions unless that liability arises through the actual fraud, willful neglect or willful default of such director, and provided further that such director acted in good faith and in a manner such director reasonably believed to be in or not opposed to our best interests and had no reasonable cause to believe such director’s conduct was unlawful.</w:t>
      </w:r>
    </w:p>
    <w:p>
      <w:pPr>
        <w:spacing w:after="0" w:line="81"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Our Articles provide that we indemnify our directors and officers to the fullest extent permitted by law. We are also expressly authorized to advance certain expenses (including attorneys’ fees and disbursements and court costs) to our directors and officers and carry directors’ and officers’ insurance providing indemnification for our directors and officers for some liabilities. We believe that these indemnification provisions and insurance are useful to attract and retain qualified directors and officers.</w:t>
      </w:r>
    </w:p>
    <w:p>
      <w:pPr>
        <w:spacing w:after="0" w:line="81" w:lineRule="exact"/>
        <w:rPr>
          <w:sz w:val="20"/>
          <w:szCs w:val="20"/>
          <w:color w:val="auto"/>
        </w:rPr>
      </w:pPr>
    </w:p>
    <w:p>
      <w:pPr>
        <w:jc w:val="both"/>
        <w:ind w:left="400" w:right="399" w:firstLine="351"/>
        <w:spacing w:after="0" w:line="256" w:lineRule="auto"/>
        <w:rPr>
          <w:sz w:val="20"/>
          <w:szCs w:val="20"/>
          <w:color w:val="auto"/>
        </w:rPr>
      </w:pPr>
      <w:r>
        <w:rPr>
          <w:rFonts w:ascii="Times New Roman" w:cs="Times New Roman" w:eastAsia="Times New Roman" w:hAnsi="Times New Roman"/>
          <w:sz w:val="18"/>
          <w:szCs w:val="18"/>
          <w:color w:val="auto"/>
        </w:rPr>
        <w:t>We have entered into separate indemnification agreements with each of our directors and executive officers. Each indemnification agreement provides, among other things, for indemnification to the fullest extent permitted by law 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2" w:lineRule="exact"/>
        <w:rPr>
          <w:sz w:val="20"/>
          <w:szCs w:val="20"/>
          <w:color w:val="auto"/>
        </w:rPr>
      </w:pPr>
    </w:p>
    <w:p>
      <w:pPr>
        <w:jc w:val="both"/>
        <w:ind w:left="400" w:right="419"/>
        <w:spacing w:after="0" w:line="249" w:lineRule="auto"/>
        <w:rPr>
          <w:sz w:val="20"/>
          <w:szCs w:val="20"/>
          <w:color w:val="auto"/>
        </w:rPr>
      </w:pPr>
      <w:r>
        <w:rPr>
          <w:rFonts w:ascii="Times New Roman" w:cs="Times New Roman" w:eastAsia="Times New Roman" w:hAnsi="Times New Roman"/>
          <w:sz w:val="18"/>
          <w:szCs w:val="18"/>
          <w:color w:val="auto"/>
        </w:rPr>
        <w:t>our Articles against (i) any and all expenses and liabilities, including judgments, fines, penalties and amounts paid in settlement of any claim with our approval and counsel fees and disbursements, (ii) any liability pursuant to a loan guarantee, or otherwise, for any of our indebtedness, and (iii) any liabilities incurred as a result of acting on our behalf (as a fiduciary or otherwise) in connection with an employee benefit plan. The indemnification agreements provide for the advancement or payment of all expenses to the indemnitee and for reimbursement to us if it is found that such indemnitee is not entitled to such indemnification under applicable law and our Articles.</w:t>
      </w:r>
    </w:p>
    <w:p>
      <w:pPr>
        <w:spacing w:after="0" w:line="3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Under our Articles, to the extent permitted by law:</w:t>
      </w:r>
    </w:p>
    <w:p>
      <w:pPr>
        <w:spacing w:after="0" w:line="107" w:lineRule="exact"/>
        <w:rPr>
          <w:sz w:val="20"/>
          <w:szCs w:val="20"/>
          <w:color w:val="auto"/>
        </w:rPr>
      </w:pPr>
    </w:p>
    <w:p>
      <w:pPr>
        <w:jc w:val="both"/>
        <w:ind w:left="1080" w:right="419" w:hanging="335"/>
        <w:spacing w:after="0" w:line="253"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Fortress Investment Group LLC (“</w:t>
      </w:r>
      <w:r>
        <w:rPr>
          <w:rFonts w:ascii="Times New Roman" w:cs="Times New Roman" w:eastAsia="Times New Roman" w:hAnsi="Times New Roman"/>
          <w:sz w:val="18"/>
          <w:szCs w:val="18"/>
          <w:b w:val="1"/>
          <w:bCs w:val="1"/>
          <w:color w:val="auto"/>
        </w:rPr>
        <w:t>Fortress</w:t>
      </w:r>
      <w:r>
        <w:rPr>
          <w:rFonts w:ascii="Times New Roman" w:cs="Times New Roman" w:eastAsia="Times New Roman" w:hAnsi="Times New Roman"/>
          <w:sz w:val="18"/>
          <w:szCs w:val="18"/>
          <w:color w:val="auto"/>
        </w:rPr>
        <w:t>”) and its respective affiliates, including the Former Manager and Master GP, have the right to, and have no duty to abstain from, exercising such right to, engage or invest in the same or similar business as us, do business with any of our clients, customers or vendors or employ or otherwise engage any of our officers, directors or employees;</w:t>
      </w:r>
    </w:p>
    <w:p>
      <w:pPr>
        <w:spacing w:after="0" w:line="77" w:lineRule="exact"/>
        <w:rPr>
          <w:rFonts w:ascii="Times New Roman" w:cs="Times New Roman" w:eastAsia="Times New Roman" w:hAnsi="Times New Roman"/>
          <w:sz w:val="18"/>
          <w:szCs w:val="18"/>
          <w:color w:val="auto"/>
        </w:rPr>
      </w:pPr>
    </w:p>
    <w:p>
      <w:pPr>
        <w:jc w:val="both"/>
        <w:ind w:left="1080" w:right="419" w:hanging="335"/>
        <w:spacing w:after="0" w:line="25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Fortress and its respective affiliates, including the Former Manager and the Master GP, or any of their officers, directors or employees acquire knowledge of a potential transaction that could be a corporate opportunity, it has no duty to offer such corporate opportunity to us, our shareholders or affiliates;</w:t>
      </w:r>
    </w:p>
    <w:p>
      <w:pPr>
        <w:spacing w:after="0" w:line="75"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renounced any interest or expectancy in, or in being offered an opportunity to participate in, such corporate opportunities; and</w:t>
      </w:r>
    </w:p>
    <w:p>
      <w:pPr>
        <w:spacing w:after="0" w:line="62" w:lineRule="exact"/>
        <w:rPr>
          <w:rFonts w:ascii="Times New Roman" w:cs="Times New Roman" w:eastAsia="Times New Roman" w:hAnsi="Times New Roman"/>
          <w:sz w:val="18"/>
          <w:szCs w:val="18"/>
          <w:color w:val="auto"/>
        </w:rPr>
      </w:pPr>
    </w:p>
    <w:p>
      <w:pPr>
        <w:jc w:val="both"/>
        <w:ind w:left="1080" w:right="419" w:hanging="335"/>
        <w:spacing w:after="0" w:line="248"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of our directors and officers who is also a director, officer or employee of Fortress and their respective affiliates, including the Former Manager and the Master GP, acquire knowledge of a corporate opportunity or is offered a corporate opportunity; provided that this knowledge was not acquired solely in such person’s capacity as our director or officer and such person acted in good faith, then such person is deemed to have fully satisfied such person’s fiduciary duty and is not liable to us if Fortress and their respective affiliates, including the Former Manager and the Master GP, pursues or acquires the corporate opportunity or if such person did not present the corporate opportunity to us.</w:t>
      </w:r>
    </w:p>
    <w:p>
      <w:pPr>
        <w:spacing w:after="0" w:line="3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The Company’s Transfer Agent</w:t>
      </w:r>
    </w:p>
    <w:p>
      <w:pPr>
        <w:spacing w:after="0" w:line="111" w:lineRule="exact"/>
        <w:rPr>
          <w:sz w:val="20"/>
          <w:szCs w:val="20"/>
          <w:color w:val="auto"/>
        </w:rPr>
      </w:pPr>
    </w:p>
    <w:p>
      <w:pPr>
        <w:ind w:left="400" w:right="419" w:firstLine="351"/>
        <w:spacing w:after="0" w:line="269" w:lineRule="auto"/>
        <w:rPr>
          <w:sz w:val="20"/>
          <w:szCs w:val="20"/>
          <w:color w:val="auto"/>
        </w:rPr>
      </w:pPr>
      <w:r>
        <w:rPr>
          <w:rFonts w:ascii="Times New Roman" w:cs="Times New Roman" w:eastAsia="Times New Roman" w:hAnsi="Times New Roman"/>
          <w:sz w:val="18"/>
          <w:szCs w:val="18"/>
          <w:color w:val="auto"/>
        </w:rPr>
        <w:t>The transfer agent for the Company’s shares is Equiniti Trust Company LLC, 48 Wall Street, Floor 23, New York, NY 10005.</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111" w:lineRule="exact"/>
        <w:rPr>
          <w:sz w:val="20"/>
          <w:szCs w:val="20"/>
          <w:color w:val="auto"/>
        </w:rPr>
      </w:pPr>
    </w:p>
    <w:p>
      <w:pPr>
        <w:jc w:val="both"/>
        <w:ind w:left="400" w:right="399" w:firstLine="351"/>
        <w:spacing w:after="0" w:line="286" w:lineRule="auto"/>
        <w:rPr>
          <w:sz w:val="20"/>
          <w:szCs w:val="20"/>
          <w:color w:val="auto"/>
        </w:rPr>
      </w:pPr>
      <w:r>
        <w:rPr>
          <w:rFonts w:ascii="Times New Roman" w:cs="Times New Roman" w:eastAsia="Times New Roman" w:hAnsi="Times New Roman"/>
          <w:sz w:val="16"/>
          <w:szCs w:val="16"/>
          <w:color w:val="auto"/>
        </w:rPr>
        <w:t>We may issue depositary receipts representing interests in shares of particular series of preferred shares which are called depositary shares. We will deposit the preferred shares of a series which is the subject of depositary shares with a depositary, which will hold that preferred shares for the benefit of the holders of the depositary shares, in accordance with a deposit agreement between the depositary and us. The holders of depositary shares will be entitled to all the rights and preferences of the preferred shares to which the depositary shares relate, including dividend, voting, conversion, redemption and liquidation rights, to the extent of their interests in that preferred shares.</w:t>
      </w:r>
    </w:p>
    <w:p>
      <w:pPr>
        <w:spacing w:after="0" w:line="55" w:lineRule="exact"/>
        <w:rPr>
          <w:sz w:val="20"/>
          <w:szCs w:val="20"/>
          <w:color w:val="auto"/>
        </w:rPr>
      </w:pPr>
    </w:p>
    <w:p>
      <w:pPr>
        <w:jc w:val="both"/>
        <w:ind w:left="400" w:right="419" w:firstLine="351"/>
        <w:spacing w:after="0" w:line="256" w:lineRule="auto"/>
        <w:rPr>
          <w:sz w:val="20"/>
          <w:szCs w:val="20"/>
          <w:color w:val="auto"/>
        </w:rPr>
      </w:pPr>
      <w:r>
        <w:rPr>
          <w:rFonts w:ascii="Times New Roman" w:cs="Times New Roman" w:eastAsia="Times New Roman" w:hAnsi="Times New Roman"/>
          <w:sz w:val="18"/>
          <w:szCs w:val="18"/>
          <w:color w:val="auto"/>
        </w:rPr>
        <w:t>While the deposit agreement relating to a particular series of preferred shares may have provisions applicable solely to that series of preferred shares, all deposit agreements relating to preferred shares we issue will include the following provisions:</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11" w:lineRule="exact"/>
        <w:rPr>
          <w:sz w:val="20"/>
          <w:szCs w:val="20"/>
          <w:color w:val="auto"/>
        </w:rPr>
      </w:pPr>
    </w:p>
    <w:p>
      <w:pPr>
        <w:jc w:val="both"/>
        <w:ind w:left="400" w:right="399" w:firstLine="351"/>
        <w:spacing w:after="0" w:line="248" w:lineRule="auto"/>
        <w:rPr>
          <w:sz w:val="20"/>
          <w:szCs w:val="20"/>
          <w:color w:val="auto"/>
        </w:rPr>
      </w:pPr>
      <w:r>
        <w:rPr>
          <w:rFonts w:ascii="Times New Roman" w:cs="Times New Roman" w:eastAsia="Times New Roman" w:hAnsi="Times New Roman"/>
          <w:sz w:val="18"/>
          <w:szCs w:val="18"/>
          <w:color w:val="auto"/>
        </w:rPr>
        <w:t>Each time we pay a cash dividend or make any other type of cash distribution with regard to preferred shares of a series, the depositary will distribute to the holder of record of each depositary share relating to that series of preferred shares an amount equal to the dividend or other distribution per depositary share the depositary receives. If there is a distribution of property other than cash, the depositary either will distribute the property to the holders of depositary shares in proportion to the depositary shares held by each of them, or the depositary will, if we approve, sell the property and distribute the net proceeds to the holders of the depositary shares in proportion to the depositary shares held by them.</w:t>
      </w:r>
    </w:p>
    <w:p>
      <w:pPr>
        <w:spacing w:after="0" w:line="3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Withdrawal of Preferred Shares</w:t>
      </w:r>
    </w:p>
    <w:p>
      <w:pPr>
        <w:spacing w:after="0" w:line="111" w:lineRule="exact"/>
        <w:rPr>
          <w:sz w:val="20"/>
          <w:szCs w:val="20"/>
          <w:color w:val="auto"/>
        </w:rPr>
      </w:pPr>
    </w:p>
    <w:p>
      <w:pPr>
        <w:jc w:val="both"/>
        <w:ind w:left="400" w:right="419" w:firstLine="351"/>
        <w:spacing w:after="0" w:line="256" w:lineRule="auto"/>
        <w:rPr>
          <w:sz w:val="20"/>
          <w:szCs w:val="20"/>
          <w:color w:val="auto"/>
        </w:rPr>
      </w:pPr>
      <w:r>
        <w:rPr>
          <w:rFonts w:ascii="Times New Roman" w:cs="Times New Roman" w:eastAsia="Times New Roman" w:hAnsi="Times New Roman"/>
          <w:sz w:val="18"/>
          <w:szCs w:val="18"/>
          <w:color w:val="auto"/>
        </w:rPr>
        <w:t>A holder of depositary shares will be entitled to receive, upon surrender of depositary receipts representing depositary shares, the number of whole or fractional shares of the applicable series of preferred shares, and any money or other property, to which the depositary shares relate.</w:t>
      </w:r>
    </w:p>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11"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Whenever we redeem shares of preferred shares held by a depositary, the depositary will be required to redeem, on the same redemption date, depositary shares constituting, in total, the number of shares of preferred shares held by the depositary which we redeem, subject to the depositary’s receiving the redemption price of those shares of preferred shares. If fewer than all the depositary shares relating to a series are to be redeemed, the depositary shares to be redeemed will be selected by lot or by another method we determine to be equitable.</w:t>
      </w: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11" w:lineRule="exact"/>
        <w:rPr>
          <w:sz w:val="20"/>
          <w:szCs w:val="20"/>
          <w:color w:val="auto"/>
        </w:rPr>
      </w:pPr>
    </w:p>
    <w:p>
      <w:pPr>
        <w:jc w:val="both"/>
        <w:ind w:left="400" w:right="399" w:firstLine="351"/>
        <w:spacing w:after="0" w:line="249" w:lineRule="auto"/>
        <w:rPr>
          <w:sz w:val="20"/>
          <w:szCs w:val="20"/>
          <w:color w:val="auto"/>
        </w:rPr>
      </w:pPr>
      <w:r>
        <w:rPr>
          <w:rFonts w:ascii="Times New Roman" w:cs="Times New Roman" w:eastAsia="Times New Roman" w:hAnsi="Times New Roman"/>
          <w:sz w:val="18"/>
          <w:szCs w:val="18"/>
          <w:color w:val="auto"/>
        </w:rPr>
        <w:t>Any time we send a notice of meeting or other materials relating to a meeting to the holders of a series of preferred shares to which depositary shares relate, we will provide the depositary with sufficient copies of those materials so they can be sent to all holders of record of the applicable depositary shares, and the depositary will send those materials to the holders of record of the depositary shares on the record date for the meeting. The depositary will solicit voting instructions from holders of depositary shares and will vote or not vote the preferred shares to which the depositary shares relate in accordance with those instructions.</w:t>
      </w:r>
    </w:p>
    <w:p>
      <w:pPr>
        <w:spacing w:after="0" w:line="3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11" w:lineRule="exact"/>
        <w:rPr>
          <w:sz w:val="20"/>
          <w:szCs w:val="20"/>
          <w:color w:val="auto"/>
        </w:rPr>
      </w:pPr>
    </w:p>
    <w:p>
      <w:pPr>
        <w:jc w:val="both"/>
        <w:ind w:left="400" w:right="419" w:firstLine="351"/>
        <w:spacing w:after="0" w:line="25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 of each depositary share will be entitled to what the holder of the depositary share would have received if the holder had owned the number of shares (or fraction of a share) of preferred shares which is represented by the depositary share.</w:t>
      </w:r>
    </w:p>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111"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If shares of a series of preferred shares are convertible into ordinary shares or other of our securities or property, holders of depositary shares relating to that series of preferred shares will, if they surrender depositary receipts representing depositary shares and appropriate instructions to convert them, receive the ordinary shares or other securities or property into which the number of shares (or fractions of shares) of preferred shares to which the depositary shares relate could at the time be converted.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Amendment and Termination of a Deposit Agreement</w:t>
      </w:r>
    </w:p>
    <w:p>
      <w:pPr>
        <w:spacing w:after="0" w:line="111"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We and the depositary may amend a deposit agreement, except that an amendment which materially and adversely affects the rights of holders of depositary shares, or would be materially and adversely inconsistent with the rights granted to the holders of the preferred shares to which they relate, must be approved by holders of at least two-thirds of the outstanding depositary shares. No amendment will impair the right of a holder of depositary shares to surrender the depositary receipts evidencing those depositary shares and receive the preferred shares to which they relate, except as required to comply with law. We may terminate a deposit agreement with the consent of holders of a majority of the depositary shares to which it relates. Upon termination of a deposit agreement, the depositary will make the whole or fractional shares of preferred shares to which the depositary shares issued under the deposit agreement relate available to the holders of those depositary shares. A deposit agreement will automatically terminate if:</w:t>
      </w:r>
    </w:p>
    <w:p>
      <w:pPr>
        <w:spacing w:after="0" w:line="83" w:lineRule="exact"/>
        <w:rPr>
          <w:sz w:val="20"/>
          <w:szCs w:val="20"/>
          <w:color w:val="auto"/>
        </w:rPr>
      </w:pPr>
    </w:p>
    <w:p>
      <w:pPr>
        <w:ind w:left="1080" w:hanging="335"/>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to which it relates have been redeemed or converted.</w:t>
      </w:r>
    </w:p>
    <w:p>
      <w:pPr>
        <w:spacing w:after="0" w:line="109"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made a final distribution to the holders of the depositary shares issued under the deposit agreement upon our liquidation, dissolution or winding up.</w:t>
      </w:r>
    </w:p>
    <w:p>
      <w:pPr>
        <w:spacing w:after="0" w:line="3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11" w:lineRule="exact"/>
        <w:rPr>
          <w:sz w:val="20"/>
          <w:szCs w:val="20"/>
          <w:color w:val="auto"/>
        </w:rPr>
      </w:pPr>
    </w:p>
    <w:p>
      <w:pPr>
        <w:jc w:val="both"/>
        <w:ind w:left="400" w:right="419" w:firstLine="351"/>
        <w:spacing w:after="0" w:line="282" w:lineRule="auto"/>
        <w:rPr>
          <w:sz w:val="20"/>
          <w:szCs w:val="20"/>
          <w:color w:val="auto"/>
        </w:rPr>
      </w:pPr>
      <w:r>
        <w:rPr>
          <w:rFonts w:ascii="Times New Roman" w:cs="Times New Roman" w:eastAsia="Times New Roman" w:hAnsi="Times New Roman"/>
          <w:sz w:val="16"/>
          <w:szCs w:val="16"/>
          <w:color w:val="auto"/>
        </w:rPr>
        <w:t>There will be provisions: (1) requiring the depositary to forward to holders of record of depositary shares any reports or communications from us which the depositary receives with respect to the preferred shares to which the depositary shares relate; (2) regarding compensation of the depositary; (3) regarding resignation of the depositary;</w:t>
      </w:r>
    </w:p>
    <w:p>
      <w:pPr>
        <w:spacing w:after="0" w:line="1" w:lineRule="exact"/>
        <w:rPr>
          <w:sz w:val="20"/>
          <w:szCs w:val="20"/>
          <w:color w:val="auto"/>
        </w:rPr>
      </w:pPr>
    </w:p>
    <w:p>
      <w:pPr>
        <w:jc w:val="both"/>
        <w:ind w:left="400" w:right="419" w:hanging="6"/>
        <w:spacing w:after="0" w:line="246" w:lineRule="auto"/>
        <w:tabs>
          <w:tab w:leader="none" w:pos="66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liability and the liability of the depositary under the deposit agreement (usually to failure to act in good faith, gross negligence or willful misconduct); and (5) indemnifying the depositary against certain possible liabilities.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11" w:lineRule="exact"/>
        <w:rPr>
          <w:sz w:val="20"/>
          <w:szCs w:val="20"/>
          <w:color w:val="auto"/>
        </w:rPr>
      </w:pPr>
    </w:p>
    <w:p>
      <w:pPr>
        <w:jc w:val="both"/>
        <w:ind w:left="400" w:right="399" w:firstLine="351"/>
        <w:spacing w:after="0" w:line="249" w:lineRule="auto"/>
        <w:rPr>
          <w:sz w:val="20"/>
          <w:szCs w:val="20"/>
          <w:color w:val="auto"/>
        </w:rPr>
      </w:pPr>
      <w:r>
        <w:rPr>
          <w:rFonts w:ascii="Times New Roman" w:cs="Times New Roman" w:eastAsia="Times New Roman" w:hAnsi="Times New Roman"/>
          <w:sz w:val="18"/>
          <w:szCs w:val="18"/>
          <w:color w:val="auto"/>
        </w:rPr>
        <w:t>We may issue warrants to purchase debt or equity securities. We may issue warrants independently or together with any offered securities. The warrants may be attached to or separate from those offered securities. We will issue the warrants under warrant agreements to be entered into between us and a bank or trust company, as warrant agent, all as described in the applicable prospectus supplement. The warrant agent will act solely as our agent in connection with the warrants and will not assume any obligation or relationship of agency or trust for or with any holders or beneficial owners of warrants.</w:t>
      </w:r>
    </w:p>
    <w:p>
      <w:pPr>
        <w:spacing w:after="0" w:line="82" w:lineRule="exact"/>
        <w:rPr>
          <w:sz w:val="20"/>
          <w:szCs w:val="20"/>
          <w:color w:val="auto"/>
        </w:rPr>
      </w:pPr>
    </w:p>
    <w:p>
      <w:pPr>
        <w:jc w:val="both"/>
        <w:ind w:left="400" w:right="419" w:firstLine="351"/>
        <w:spacing w:after="0" w:line="269" w:lineRule="auto"/>
        <w:rPr>
          <w:sz w:val="20"/>
          <w:szCs w:val="20"/>
          <w:color w:val="auto"/>
        </w:rPr>
      </w:pPr>
      <w:r>
        <w:rPr>
          <w:rFonts w:ascii="Times New Roman" w:cs="Times New Roman" w:eastAsia="Times New Roman" w:hAnsi="Times New Roman"/>
          <w:sz w:val="18"/>
          <w:szCs w:val="18"/>
          <w:color w:val="auto"/>
        </w:rPr>
        <w:t>The prospectus supplement relating to any warrants that we may offer will contain the specific terms of the warrants. These terms may include the following:</w:t>
      </w:r>
    </w:p>
    <w:p>
      <w:pPr>
        <w:spacing w:after="0" w:line="63" w:lineRule="exact"/>
        <w:rPr>
          <w:sz w:val="20"/>
          <w:szCs w:val="20"/>
          <w:color w:val="auto"/>
        </w:rPr>
      </w:pPr>
    </w:p>
    <w:p>
      <w:pPr>
        <w:ind w:left="1080" w:hanging="335"/>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for which the warrants are exercisable;</w:t>
      </w:r>
    </w:p>
    <w:p>
      <w:pPr>
        <w:spacing w:after="0" w:line="109"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other securities, if any, with which the warrants are to be issued and the number of warrants issued with each other security;</w:t>
      </w:r>
    </w:p>
    <w:p>
      <w:pPr>
        <w:spacing w:after="0" w:line="62"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09"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number or amount of securities receivable upon exercise of the warrants or the exercise price of the warrants;</w:t>
      </w:r>
    </w:p>
    <w:p>
      <w:pPr>
        <w:spacing w:after="0" w:line="62"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securities purchasable upon exercise of the warrants may be purchased;</w:t>
      </w:r>
    </w:p>
    <w:p>
      <w:pPr>
        <w:spacing w:after="0" w:line="109"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securities purchasable upon exercise of the warrants will be separately transferable;</w:t>
      </w:r>
    </w:p>
    <w:p>
      <w:pPr>
        <w:spacing w:after="0" w:line="62"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U.S. federal income tax considerations applicable to the exercise of the warrants;</w:t>
      </w:r>
    </w:p>
    <w:p>
      <w:pPr>
        <w:spacing w:after="0" w:line="62"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62"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62"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or minimum number of warrants that may be exercised at any time; and</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3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11"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Each warrant will entitle the holder of warrants to purchase for cash the amount of debt or equity securities, at the exercise price stated or determinable in the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unexercised warrants will become void. Warrants may be exercised as described in the applicable prospectus supplement. When the warrant holder makes the payment and properly completes and signs the warrant certificate at the corporate trust office of the warrant agent or any other office indicated in the prospectus supplement, we will, as soon as possible, forward the debt or equity securities that the warrant holder has purchased. If the warrant holder exercises the warrant for less than all of the warrants represented by the warrant certificate, we will issue a new warrant certificate for the remaining warrants.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11" w:lineRule="exact"/>
        <w:rPr>
          <w:sz w:val="20"/>
          <w:szCs w:val="20"/>
          <w:color w:val="auto"/>
        </w:rPr>
      </w:pPr>
    </w:p>
    <w:p>
      <w:pPr>
        <w:jc w:val="both"/>
        <w:ind w:left="400" w:right="419" w:firstLine="351"/>
        <w:spacing w:after="0" w:line="250" w:lineRule="auto"/>
        <w:rPr>
          <w:sz w:val="20"/>
          <w:szCs w:val="20"/>
          <w:color w:val="auto"/>
        </w:rPr>
      </w:pPr>
      <w:r>
        <w:rPr>
          <w:rFonts w:ascii="Times New Roman" w:cs="Times New Roman" w:eastAsia="Times New Roman" w:hAnsi="Times New Roman"/>
          <w:sz w:val="18"/>
          <w:szCs w:val="18"/>
          <w:color w:val="auto"/>
        </w:rPr>
        <w:t>We may issue subscription rights to purchase our ordinary shares, our preferred shares or our debt securities. We may issue subscription rights independently or together with any other offered security, which may or may not be transferable by the shareholder.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81" w:lineRule="exact"/>
        <w:rPr>
          <w:sz w:val="20"/>
          <w:szCs w:val="20"/>
          <w:color w:val="auto"/>
        </w:rPr>
      </w:pPr>
    </w:p>
    <w:p>
      <w:pPr>
        <w:jc w:val="both"/>
        <w:ind w:left="400" w:right="419" w:firstLine="351"/>
        <w:spacing w:after="0" w:line="269"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may offer will contain the specific terms of the subscription rights. These terms may include the following:</w:t>
      </w:r>
    </w:p>
    <w:p>
      <w:pPr>
        <w:spacing w:after="0" w:line="63" w:lineRule="exact"/>
        <w:rPr>
          <w:sz w:val="20"/>
          <w:szCs w:val="20"/>
          <w:color w:val="auto"/>
        </w:rPr>
      </w:pPr>
    </w:p>
    <w:p>
      <w:pPr>
        <w:ind w:left="1080" w:hanging="335"/>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09"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each ordinary share or preferred share or debt securities which may be purchased per each subscription right;</w:t>
      </w:r>
    </w:p>
    <w:p>
      <w:pPr>
        <w:spacing w:after="0" w:line="62"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each ordinary share or preferred share or debt securities upon the exercise of the subscription rights;</w:t>
      </w:r>
    </w:p>
    <w:p>
      <w:pPr>
        <w:spacing w:after="0" w:line="62"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09"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number or amount of securities receivable upon exercise of the subscription rights or the exercise price of the subscription rights;</w:t>
      </w:r>
    </w:p>
    <w:p>
      <w:pPr>
        <w:spacing w:after="0" w:line="62"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62"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62"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and</w:t>
      </w:r>
    </w:p>
    <w:p>
      <w:pPr>
        <w:spacing w:after="0" w:line="62"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subscription rights.</w:t>
      </w:r>
    </w:p>
    <w:p>
      <w:pPr>
        <w:spacing w:after="0" w:line="63" w:lineRule="exact"/>
        <w:rPr>
          <w:sz w:val="20"/>
          <w:szCs w:val="20"/>
          <w:color w:val="auto"/>
        </w:rPr>
      </w:pPr>
    </w:p>
    <w:p>
      <w:pPr>
        <w:jc w:val="both"/>
        <w:ind w:left="400" w:right="399" w:firstLine="351"/>
        <w:spacing w:after="0" w:line="248"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subscription rights we offer will not necessarily be complete and will be qualified in its entirety by reference to the applicable subscription rights certificate or subscription rights agreement, which will be filed with the Commission if we offer subscription rights. For more information on how you can obtain copies of any subscription rights certificate or subscription rights agreement if we offer subscription rights, see “Where You Can Find More Information.” We urge you to read the applicable subscription rights certificate, the applicable subscription rights agreement and any accompanying prospectus supplement in their entirety.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PURCHASE CONTRACTS AND PURCHASE UNITS</w:t>
      </w:r>
    </w:p>
    <w:p>
      <w:pPr>
        <w:spacing w:after="0" w:line="111" w:lineRule="exact"/>
        <w:rPr>
          <w:sz w:val="20"/>
          <w:szCs w:val="20"/>
          <w:color w:val="auto"/>
        </w:rPr>
      </w:pPr>
    </w:p>
    <w:p>
      <w:pPr>
        <w:jc w:val="both"/>
        <w:ind w:left="400" w:right="399" w:firstLine="351"/>
        <w:spacing w:after="0" w:line="246" w:lineRule="auto"/>
        <w:rPr>
          <w:sz w:val="20"/>
          <w:szCs w:val="20"/>
          <w:color w:val="auto"/>
        </w:rPr>
      </w:pPr>
      <w:r>
        <w:rPr>
          <w:rFonts w:ascii="Times New Roman" w:cs="Times New Roman" w:eastAsia="Times New Roman" w:hAnsi="Times New Roman"/>
          <w:sz w:val="18"/>
          <w:szCs w:val="18"/>
          <w:color w:val="auto"/>
        </w:rPr>
        <w:t>We may issue purchase contracts, including contracts obligating holders to purchase from us, and obligating us to sell to the holders, a specified number of our ordinary shares, our preferred shares or our debt securities at a future date or dates, which we refer to in this prospectus as purchase contracts. The price of the securities and the number of securities may be fixed at the time the purchase contracts are issued or may be determined by reference to a specific formula set forth in the purchase contracts, and may be subject to adjustment under anti-dilution formulas. The purchase contracts may be issued separately or as part of units consisting of a stock purchase contract and debt securities, preferred securities or debt obligations of third parties, including U.S. treasury securities, or any combination of the foregoing, securing the holders’ obligations to purchase the securities under the purchase contracts, which we refer to herein as purchase units. The purchase contracts may require holders to secure their obligations under the purchase contracts in a specified manner. The purchase contracts also may require us to make periodic payments to the holders of the purchase contracts or the purchase units, as the case may be, or vice versa, and those payments may be unsecured or pre-funded in whole or in part.</w:t>
      </w:r>
    </w:p>
    <w:p>
      <w:pPr>
        <w:spacing w:after="0" w:line="89" w:lineRule="exact"/>
        <w:rPr>
          <w:sz w:val="20"/>
          <w:szCs w:val="20"/>
          <w:color w:val="auto"/>
        </w:rPr>
      </w:pPr>
    </w:p>
    <w:p>
      <w:pPr>
        <w:jc w:val="both"/>
        <w:ind w:left="400" w:right="399" w:firstLine="351"/>
        <w:spacing w:after="0" w:line="249" w:lineRule="auto"/>
        <w:rPr>
          <w:sz w:val="20"/>
          <w:szCs w:val="20"/>
          <w:color w:val="auto"/>
        </w:rPr>
      </w:pPr>
      <w:r>
        <w:rPr>
          <w:rFonts w:ascii="Times New Roman" w:cs="Times New Roman" w:eastAsia="Times New Roman" w:hAnsi="Times New Roman"/>
          <w:sz w:val="18"/>
          <w:szCs w:val="18"/>
          <w:color w:val="auto"/>
        </w:rPr>
        <w:t xml:space="preserve">The description in an accompanying prospectus supplement of any purchase contract or purchase unit we offer will not necessarily be complete and will be qualified in its entirety by reference to the applicable purchase contract or purchase unit, which will be filed with the Commission if we offer purchase contracts or purchase units. For more information on how you can obtain copies of any purchase contract or purchase unit we may offer, see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Can Find More Information.” </w:t>
      </w:r>
      <w:r>
        <w:rPr>
          <w:rFonts w:ascii="Times New Roman" w:cs="Times New Roman" w:eastAsia="Times New Roman" w:hAnsi="Times New Roman"/>
          <w:sz w:val="18"/>
          <w:szCs w:val="18"/>
          <w:color w:val="auto"/>
        </w:rPr>
        <w:t>We urge you to read the applicable purchase contract or applicable purchase unit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accompanying prospectus supplement in their entirety.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111" w:lineRule="exact"/>
        <w:rPr>
          <w:sz w:val="20"/>
          <w:szCs w:val="20"/>
          <w:color w:val="auto"/>
        </w:rPr>
      </w:pPr>
    </w:p>
    <w:p>
      <w:pPr>
        <w:jc w:val="both"/>
        <w:ind w:left="400" w:right="419" w:firstLine="351"/>
        <w:spacing w:after="0" w:line="256" w:lineRule="auto"/>
        <w:rPr>
          <w:sz w:val="20"/>
          <w:szCs w:val="20"/>
          <w:color w:val="auto"/>
        </w:rPr>
      </w:pPr>
      <w:r>
        <w:rPr>
          <w:rFonts w:ascii="Times New Roman" w:cs="Times New Roman" w:eastAsia="Times New Roman" w:hAnsi="Times New Roman"/>
          <w:sz w:val="18"/>
          <w:szCs w:val="18"/>
          <w:color w:val="auto"/>
        </w:rPr>
        <w:t>Information about selling shareholders, when applicable, will be set forth in a prospectus supplement, in a post-effective amendment or in filings we make with the Commission under the Exchange Act which are incorporated by reference into this prospectus.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35" w:name="page36"/>
    <w:bookmarkEnd w:id="3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11" w:lineRule="exact"/>
        <w:rPr>
          <w:sz w:val="20"/>
          <w:szCs w:val="20"/>
          <w:color w:val="auto"/>
        </w:rPr>
      </w:pPr>
    </w:p>
    <w:p>
      <w:pPr>
        <w:jc w:val="both"/>
        <w:ind w:left="400" w:right="419" w:firstLine="351"/>
        <w:spacing w:after="0" w:line="294" w:lineRule="auto"/>
        <w:rPr>
          <w:sz w:val="20"/>
          <w:szCs w:val="20"/>
          <w:color w:val="auto"/>
        </w:rPr>
      </w:pPr>
      <w:r>
        <w:rPr>
          <w:rFonts w:ascii="Times New Roman" w:cs="Times New Roman" w:eastAsia="Times New Roman" w:hAnsi="Times New Roman"/>
          <w:sz w:val="16"/>
          <w:szCs w:val="16"/>
          <w:color w:val="auto"/>
        </w:rPr>
        <w:t>The following summary contains a description of certain Cayman Islands tax consequences of the acquisition, ownership and disposition of ordinary shares, but it does not purport to be a comprehensive description of all the tax considerations that may be relevant to a decision to purchase ordinary shares. The summary is based upon the tax laws of Cayman Islands and regulations thereunder as of the date hereof, which are subject to change.</w:t>
      </w:r>
    </w:p>
    <w:p>
      <w:pPr>
        <w:spacing w:after="0" w:line="3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111" w:lineRule="exact"/>
        <w:rPr>
          <w:sz w:val="20"/>
          <w:szCs w:val="20"/>
          <w:color w:val="auto"/>
        </w:rPr>
      </w:pPr>
    </w:p>
    <w:p>
      <w:pPr>
        <w:jc w:val="both"/>
        <w:ind w:left="400" w:right="399" w:firstLine="351"/>
        <w:spacing w:after="0" w:line="269" w:lineRule="auto"/>
        <w:rPr>
          <w:sz w:val="20"/>
          <w:szCs w:val="20"/>
          <w:color w:val="auto"/>
        </w:rPr>
      </w:pPr>
      <w:r>
        <w:rPr>
          <w:rFonts w:ascii="Times New Roman" w:cs="Times New Roman" w:eastAsia="Times New Roman" w:hAnsi="Times New Roman"/>
          <w:sz w:val="18"/>
          <w:szCs w:val="18"/>
          <w:color w:val="auto"/>
        </w:rPr>
        <w:t>Prospective investors should consult their professional advisers on the possible tax consequences of buying, holding or selling any ordinary shares under the laws of their country of citizenship, residence or domicile.</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11" w:lineRule="exact"/>
        <w:rPr>
          <w:sz w:val="20"/>
          <w:szCs w:val="20"/>
          <w:color w:val="auto"/>
        </w:rPr>
      </w:pPr>
    </w:p>
    <w:p>
      <w:pPr>
        <w:jc w:val="both"/>
        <w:ind w:left="400" w:right="399" w:firstLine="351"/>
        <w:spacing w:after="0" w:line="252" w:lineRule="auto"/>
        <w:rPr>
          <w:sz w:val="20"/>
          <w:szCs w:val="20"/>
          <w:color w:val="auto"/>
        </w:rPr>
      </w:pPr>
      <w:r>
        <w:rPr>
          <w:rFonts w:ascii="Times New Roman" w:cs="Times New Roman" w:eastAsia="Times New Roman" w:hAnsi="Times New Roman"/>
          <w:sz w:val="18"/>
          <w:szCs w:val="18"/>
          <w:color w:val="auto"/>
        </w:rPr>
        <w:t>The following is a discussion on certain Cayman Islands income tax consequences of an investment in ordinary shares.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3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Under Existing Cayman Islands Laws:</w:t>
      </w:r>
    </w:p>
    <w:p>
      <w:pPr>
        <w:spacing w:after="0" w:line="111" w:lineRule="exact"/>
        <w:rPr>
          <w:sz w:val="20"/>
          <w:szCs w:val="20"/>
          <w:color w:val="auto"/>
        </w:rPr>
      </w:pPr>
    </w:p>
    <w:p>
      <w:pPr>
        <w:jc w:val="both"/>
        <w:ind w:left="400" w:right="419" w:firstLine="351"/>
        <w:spacing w:after="0" w:line="250" w:lineRule="auto"/>
        <w:rPr>
          <w:sz w:val="20"/>
          <w:szCs w:val="20"/>
          <w:color w:val="auto"/>
        </w:rPr>
      </w:pPr>
      <w:r>
        <w:rPr>
          <w:rFonts w:ascii="Times New Roman" w:cs="Times New Roman" w:eastAsia="Times New Roman" w:hAnsi="Times New Roman"/>
          <w:sz w:val="18"/>
          <w:szCs w:val="18"/>
          <w:color w:val="auto"/>
        </w:rPr>
        <w:t>Payments of dividends and capital in respect of shares will not be subject to taxation in the Cayman Islands and no withholding will be required on the payment of interest and principal or a dividend or capital to any holder of shares, as the case may be, nor will gains derived from the disposal of shares be subject to Cayman Islands income or corporation tax. The Cayman Islands currently have no income, corporation or capital gains tax and no estate duty, inheritance tax or gift tax.</w:t>
      </w:r>
    </w:p>
    <w:p>
      <w:pPr>
        <w:spacing w:after="0" w:line="81" w:lineRule="exact"/>
        <w:rPr>
          <w:sz w:val="20"/>
          <w:szCs w:val="20"/>
          <w:color w:val="auto"/>
        </w:rPr>
      </w:pPr>
    </w:p>
    <w:p>
      <w:pPr>
        <w:jc w:val="both"/>
        <w:ind w:left="400" w:right="419" w:firstLine="351"/>
        <w:spacing w:after="0" w:line="269" w:lineRule="auto"/>
        <w:rPr>
          <w:sz w:val="20"/>
          <w:szCs w:val="20"/>
          <w:color w:val="auto"/>
        </w:rPr>
      </w:pPr>
      <w:r>
        <w:rPr>
          <w:rFonts w:ascii="Times New Roman" w:cs="Times New Roman" w:eastAsia="Times New Roman" w:hAnsi="Times New Roman"/>
          <w:sz w:val="18"/>
          <w:szCs w:val="18"/>
          <w:color w:val="auto"/>
        </w:rPr>
        <w:t>No stamp duty is payable in respect of the issue of the warrants. An instrument of transfer in respect of a warrant is stampable if executed in or brought into the Cayman Islands.</w:t>
      </w:r>
    </w:p>
    <w:p>
      <w:pPr>
        <w:spacing w:after="0" w:line="116" w:lineRule="exact"/>
        <w:rPr>
          <w:sz w:val="20"/>
          <w:szCs w:val="20"/>
          <w:color w:val="auto"/>
        </w:rPr>
      </w:pPr>
    </w:p>
    <w:p>
      <w:pPr>
        <w:ind w:left="400" w:right="519" w:firstLine="351"/>
        <w:spacing w:after="0" w:line="269" w:lineRule="auto"/>
        <w:rPr>
          <w:sz w:val="20"/>
          <w:szCs w:val="20"/>
          <w:color w:val="auto"/>
        </w:rPr>
      </w:pPr>
      <w:r>
        <w:rPr>
          <w:rFonts w:ascii="Times New Roman" w:cs="Times New Roman" w:eastAsia="Times New Roman" w:hAnsi="Times New Roman"/>
          <w:sz w:val="18"/>
          <w:szCs w:val="18"/>
          <w:color w:val="auto"/>
        </w:rPr>
        <w:t>No stamp duty is payable in respect of the issue of ordinary shares or on an instrument of transfer in respect of a share.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36" w:name="page37"/>
    <w:bookmarkEnd w:id="36"/>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11" w:lineRule="exact"/>
        <w:rPr>
          <w:sz w:val="20"/>
          <w:szCs w:val="20"/>
          <w:color w:val="auto"/>
        </w:rPr>
      </w:pPr>
    </w:p>
    <w:p>
      <w:pPr>
        <w:jc w:val="both"/>
        <w:ind w:left="400" w:right="399" w:firstLine="351"/>
        <w:spacing w:after="0" w:line="246" w:lineRule="auto"/>
        <w:rPr>
          <w:sz w:val="20"/>
          <w:szCs w:val="20"/>
          <w:color w:val="auto"/>
        </w:rPr>
      </w:pPr>
      <w:r>
        <w:rPr>
          <w:rFonts w:ascii="Times New Roman" w:cs="Times New Roman" w:eastAsia="Times New Roman" w:hAnsi="Times New Roman"/>
          <w:sz w:val="18"/>
          <w:szCs w:val="18"/>
          <w:color w:val="auto"/>
        </w:rPr>
        <w:t>The following discussion is a summary of the U.S. federal income tax considerations generally applicable to an investment in Company shares. The information in this summary is based on the Code; current regulations promulgated by the Treasury Regulations; the legislative history of the Code; current administrative interpretations and practices of the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and court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 The summary is also based upon the assumption that the Company and its respective subsidiaries and affiliated entities will operate in accordance with their applicable organizational documents or partnership agreements. This summary is for general information only and is not legal or tax advice. Moreover, this summary does not purport to discuss all aspects of U.S. federal income taxation that may be important to a particular investor in light of its investment or tax circumstances, or to investors subject to special tax rules, such as:</w:t>
      </w:r>
    </w:p>
    <w:p>
      <w:pPr>
        <w:spacing w:after="0" w:line="89" w:lineRule="exact"/>
        <w:rPr>
          <w:sz w:val="20"/>
          <w:szCs w:val="20"/>
          <w:color w:val="auto"/>
        </w:rPr>
      </w:pPr>
    </w:p>
    <w:p>
      <w:pPr>
        <w:ind w:left="1080" w:hanging="335"/>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trusts;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09"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 Company shares through the exercise of employee stock options or otherwise as compensation;</w:t>
      </w:r>
    </w:p>
    <w:p>
      <w:pPr>
        <w:spacing w:after="0" w:line="62"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Company shares as part of a “straddle,” “hedge,” “conversion transaction,” “synthetic security” or other integrated investment;</w:t>
      </w:r>
    </w:p>
    <w:p>
      <w:pPr>
        <w:spacing w:after="0" w:line="62"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(actually or constructively) 10% or more of the vote or value of the Company;</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investors.</w:t>
      </w:r>
    </w:p>
    <w:p>
      <w:pPr>
        <w:spacing w:after="0" w:line="109" w:lineRule="exact"/>
        <w:rPr>
          <w:sz w:val="20"/>
          <w:szCs w:val="20"/>
          <w:color w:val="auto"/>
        </w:rPr>
      </w:pPr>
    </w:p>
    <w:p>
      <w:pPr>
        <w:ind w:left="400" w:right="419" w:firstLine="351"/>
        <w:spacing w:after="0" w:line="269" w:lineRule="auto"/>
        <w:rPr>
          <w:sz w:val="20"/>
          <w:szCs w:val="20"/>
          <w:color w:val="auto"/>
        </w:rPr>
      </w:pPr>
      <w:r>
        <w:rPr>
          <w:rFonts w:ascii="Times New Roman" w:cs="Times New Roman" w:eastAsia="Times New Roman" w:hAnsi="Times New Roman"/>
          <w:sz w:val="18"/>
          <w:szCs w:val="18"/>
          <w:color w:val="auto"/>
        </w:rPr>
        <w:t>This summary assumes that investors hold their Company shares as capital assets, which generally means property held for investment.</w:t>
      </w:r>
    </w:p>
    <w:p>
      <w:pPr>
        <w:spacing w:after="0" w:line="61" w:lineRule="exact"/>
        <w:rPr>
          <w:sz w:val="20"/>
          <w:szCs w:val="20"/>
          <w:color w:val="auto"/>
        </w:rPr>
      </w:pPr>
    </w:p>
    <w:p>
      <w:pPr>
        <w:ind w:left="400" w:right="419" w:firstLine="351"/>
        <w:spacing w:after="0" w:line="271" w:lineRule="auto"/>
        <w:rPr>
          <w:sz w:val="20"/>
          <w:szCs w:val="20"/>
          <w:color w:val="auto"/>
        </w:rPr>
      </w:pPr>
      <w:r>
        <w:rPr>
          <w:rFonts w:ascii="Times New Roman" w:cs="Times New Roman" w:eastAsia="Times New Roman" w:hAnsi="Times New Roman"/>
          <w:sz w:val="18"/>
          <w:szCs w:val="18"/>
          <w:color w:val="auto"/>
        </w:rPr>
        <w:t>For purposes of this discussion under this heading “U.S. Federal Income Tax Considerations,” a “</w:t>
      </w:r>
      <w:r>
        <w:rPr>
          <w:rFonts w:ascii="Times New Roman" w:cs="Times New Roman" w:eastAsia="Times New Roman" w:hAnsi="Times New Roman"/>
          <w:sz w:val="18"/>
          <w:szCs w:val="18"/>
          <w:b w:val="1"/>
          <w:bCs w:val="1"/>
          <w:color w:val="auto"/>
        </w:rPr>
        <w:t>U.S. Holder</w:t>
      </w:r>
      <w:r>
        <w:rPr>
          <w:rFonts w:ascii="Times New Roman" w:cs="Times New Roman" w:eastAsia="Times New Roman" w:hAnsi="Times New Roman"/>
          <w:sz w:val="18"/>
          <w:szCs w:val="18"/>
          <w:color w:val="auto"/>
        </w:rPr>
        <w:t>” is a Company shareholder that is for U.S. federal income tax purposes:</w:t>
      </w:r>
    </w:p>
    <w:p>
      <w:pPr>
        <w:spacing w:after="0" w:line="62" w:lineRule="exact"/>
        <w:rPr>
          <w:sz w:val="20"/>
          <w:szCs w:val="20"/>
          <w:color w:val="auto"/>
        </w:rPr>
      </w:pPr>
    </w:p>
    <w:p>
      <w:pPr>
        <w:ind w:left="1080" w:hanging="335"/>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09" w:lineRule="exact"/>
        <w:rPr>
          <w:rFonts w:ascii="Times New Roman" w:cs="Times New Roman" w:eastAsia="Times New Roman" w:hAnsi="Times New Roman"/>
          <w:sz w:val="18"/>
          <w:szCs w:val="18"/>
          <w:color w:val="auto"/>
        </w:rPr>
      </w:pPr>
    </w:p>
    <w:p>
      <w:pPr>
        <w:jc w:val="both"/>
        <w:ind w:left="1080" w:right="419" w:hanging="335"/>
        <w:spacing w:after="0" w:line="25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treated as a corporation for U.S. federal income tax purposes) created or organized in the United States or under the laws of the United States, or of any state thereof, or the District of Columbia;</w:t>
      </w:r>
    </w:p>
    <w:p>
      <w:pPr>
        <w:spacing w:after="0" w:line="75"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includable in gross income for U.S. federal income tax purposes regardless of its source; or</w:t>
      </w:r>
    </w:p>
    <w:p>
      <w:pPr>
        <w:spacing w:after="0" w:line="62" w:lineRule="exact"/>
        <w:rPr>
          <w:rFonts w:ascii="Times New Roman" w:cs="Times New Roman" w:eastAsia="Times New Roman" w:hAnsi="Times New Roman"/>
          <w:sz w:val="18"/>
          <w:szCs w:val="18"/>
          <w:color w:val="auto"/>
        </w:rPr>
      </w:pPr>
    </w:p>
    <w:p>
      <w:pPr>
        <w:jc w:val="both"/>
        <w:ind w:left="1080" w:right="419" w:hanging="335"/>
        <w:spacing w:after="0" w:line="25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U.S. court is able to exercise primary supervision over the administration of such trust and one or more U.S. fiduciaries have the authority to control all substantial decisions of the trust or (ii) the trust has a valid election in effect to be treated as a U.S. person.</w:t>
      </w:r>
    </w:p>
    <w:p>
      <w:pPr>
        <w:spacing w:after="0" w:line="75"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If a partnership, including for this purpose any entity or arrangement that is treated as a partnership for U.S. federal income tax purposes, holds Company shares, the tax treatment of a partner in the partnership will generally depend upon the status of the partner and the activities of the partnership. An investor that is a partnership and the partners in such partnership should consult their tax advisors about the U.S. federal income tax considerations of holding Company shares.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37" w:name="page38"/>
    <w:bookmarkEnd w:id="3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Taxation of the Company</w:t>
      </w:r>
    </w:p>
    <w:p>
      <w:pPr>
        <w:spacing w:after="0" w:line="111" w:lineRule="exact"/>
        <w:rPr>
          <w:sz w:val="20"/>
          <w:szCs w:val="20"/>
          <w:color w:val="auto"/>
        </w:rPr>
      </w:pPr>
    </w:p>
    <w:p>
      <w:pPr>
        <w:jc w:val="both"/>
        <w:ind w:left="400" w:right="399" w:firstLine="351"/>
        <w:spacing w:after="0" w:line="246" w:lineRule="auto"/>
        <w:rPr>
          <w:sz w:val="20"/>
          <w:szCs w:val="20"/>
          <w:color w:val="auto"/>
        </w:rPr>
      </w:pPr>
      <w:r>
        <w:rPr>
          <w:rFonts w:ascii="Times New Roman" w:cs="Times New Roman" w:eastAsia="Times New Roman" w:hAnsi="Times New Roman"/>
          <w:sz w:val="18"/>
          <w:szCs w:val="18"/>
          <w:color w:val="auto"/>
        </w:rPr>
        <w:t>Under current U.S. federal income tax law, a corporation is generally considered a tax resident in the jurisdiction of its organization or incorporation. Thus, as a company incorporated under the laws of the Cayman Islands, the Company is expected to be treated as a foreign corporation (and therefore as a non-U.S. tax resident) for U.S. federal income tax purposes. In certain circumstances, however, an entity organized outside the United States will be treated as a U.S. corporation (and, therefore, as a U.S. tax resident) under Section 7874 of the Code. Based on the rules in effect at the time of the merger of FTAI into a subsidiary of FTAI Aviation, the Company does not expect to be treated as a U.S. corporation for U.S. federal income tax purposes by virtue of Section 7874 of the Code. Nevertheless, because the Section 7874 rules and exceptions are complex and subject to factual and legal uncertainties, there can be no assurance that the Company will not be treated as a U.S. corporation for U.S. federal income tax purposes. The remainder of this discussion assumes that the Company is not treated as a U.S. corporation for U.S. federal income tax purposes.</w:t>
      </w:r>
    </w:p>
    <w:p>
      <w:pPr>
        <w:spacing w:after="0" w:line="90" w:lineRule="exact"/>
        <w:rPr>
          <w:sz w:val="20"/>
          <w:szCs w:val="20"/>
          <w:color w:val="auto"/>
        </w:rPr>
      </w:pPr>
    </w:p>
    <w:p>
      <w:pPr>
        <w:jc w:val="both"/>
        <w:ind w:left="400" w:right="399" w:firstLine="351"/>
        <w:spacing w:after="0" w:line="246" w:lineRule="auto"/>
        <w:rPr>
          <w:sz w:val="20"/>
          <w:szCs w:val="20"/>
          <w:color w:val="auto"/>
        </w:rPr>
      </w:pPr>
      <w:r>
        <w:rPr>
          <w:rFonts w:ascii="Times New Roman" w:cs="Times New Roman" w:eastAsia="Times New Roman" w:hAnsi="Times New Roman"/>
          <w:sz w:val="18"/>
          <w:szCs w:val="18"/>
          <w:color w:val="auto"/>
        </w:rPr>
        <w:t>If the Company is treated as engaged in a trade or business in the United States, then, unless exempted by an applicable income tax treaty or Section 883 or Section 887 of the Code (as described below), the portion of its net income, if any, that was “effectively connected” with such trade or business would be subject to U.S. federal income taxation at maximum corporate rates, currently 21%. In addition, the Company may be subject to an additional U.S. federal branch profits tax on its effectively connected earnings and profits at a rate of 30%. Although the Company (or one or more of its non-U.S. corporate subsidiaries) is expected to be treated as engaged in a U.S. trade or business, it is currently expected that only a small portion of the Company’s taxable income will be treated as effectively connected with such U.S. trade or business. However, no assurance can be given that the amount of effectively connected income will not be greater than currently expected, whether due to a change in the Company’s operations or otherwise. In addition, the Company expects to earn certain income through subsidiaries treated as U.S. corporations for U.S. federal income tax purposes, which subsidiaries would be subject to regular corporate U.S. federal income tax.</w:t>
      </w:r>
    </w:p>
    <w:p>
      <w:pPr>
        <w:spacing w:after="0" w:line="89" w:lineRule="exact"/>
        <w:rPr>
          <w:sz w:val="20"/>
          <w:szCs w:val="20"/>
          <w:color w:val="auto"/>
        </w:rPr>
      </w:pPr>
    </w:p>
    <w:p>
      <w:pPr>
        <w:jc w:val="both"/>
        <w:ind w:left="400" w:right="399" w:firstLine="351"/>
        <w:spacing w:after="0" w:line="278" w:lineRule="auto"/>
        <w:rPr>
          <w:sz w:val="20"/>
          <w:szCs w:val="20"/>
          <w:color w:val="auto"/>
        </w:rPr>
      </w:pPr>
      <w:r>
        <w:rPr>
          <w:rFonts w:ascii="Times New Roman" w:cs="Times New Roman" w:eastAsia="Times New Roman" w:hAnsi="Times New Roman"/>
          <w:sz w:val="16"/>
          <w:szCs w:val="16"/>
          <w:color w:val="auto"/>
        </w:rPr>
        <w:t>Section 883 of the Code provides an exemption from U.S. federal income taxation with respect to rental income derived from aircraft or ships used in international traffic by certain foreign corporations. The Company believes that it and its subsidiaries have been and currently remain currently eligible for this exemption with respect to aircraft and ships used in international traffic. No assurances can be given that the Company or its subsidiaries will continue to be eligible for this exemption as changes in its ownership or the amount of Company shares that are traded could cause the Company and its subsidiaries to cease to be eligible for such exemption. To qualify for this exemption in respect of rental income, the lessor of the aircraft or ships must be organized in a country that grants a comparable exemption to U.S. lessors (including the Cayman Islands and the Marshall Islands), and certain other requirements must be satisfied. The Company and its subsidiaries can satisfy these requirements if the shares of the Company are primarily and regularly traded on a recognized exchange and, for more than half the days of such year, certain shareholders, each of whom owns 5% or more of its shares (applying certain attribution rules), do not collectively own more than 50% of its shares. Company’s shares will be considered to be primarily and regularly traded on a recognized exchange in any year if: (i) the number of trades in its shares effected on such recognized stock exchange exceed the number of Company shares (or direct interests in Company shares) that are traded during the year on all securities markets; (ii) trades in its shares are effected on such stock exchanges in more than de minimis quantities on at least 60 days during the year; and (iii) the aggregate number of its shares traded on such stock exchanges during the taxable year is at least 10% of the average number of Company shares issued and outstanding in that class during that year. Although we expect Company shares to be considered to be primarily and regularly traded on a recognized exchange, there can be no assurance in this regard. If Company shares cease to satisfy these requirements, then the Company and its subsidiaries may no longer be eligible for the Section 883 exemption with respect to income earned by aircraft or ships used in international traffic.</w:t>
      </w:r>
    </w:p>
    <w:p>
      <w:pPr>
        <w:spacing w:after="0" w:line="200" w:lineRule="exact"/>
        <w:rPr>
          <w:sz w:val="20"/>
          <w:szCs w:val="20"/>
          <w:color w:val="auto"/>
        </w:rPr>
      </w:pPr>
    </w:p>
    <w:p>
      <w:pPr>
        <w:spacing w:after="0" w:line="283" w:lineRule="exact"/>
        <w:rPr>
          <w:sz w:val="20"/>
          <w:szCs w:val="20"/>
          <w:color w:val="auto"/>
        </w:rPr>
      </w:pPr>
    </w:p>
    <w:p>
      <w:pPr>
        <w:jc w:val="both"/>
        <w:ind w:left="400" w:right="399" w:firstLine="351"/>
        <w:spacing w:after="0" w:line="246" w:lineRule="auto"/>
        <w:rPr>
          <w:sz w:val="20"/>
          <w:szCs w:val="20"/>
          <w:color w:val="auto"/>
        </w:rPr>
      </w:pPr>
      <w:r>
        <w:rPr>
          <w:rFonts w:ascii="Times New Roman" w:cs="Times New Roman" w:eastAsia="Times New Roman" w:hAnsi="Times New Roman"/>
          <w:sz w:val="18"/>
          <w:szCs w:val="18"/>
          <w:color w:val="auto"/>
        </w:rPr>
        <w:t>Under these rules and based on current practices, we expect that the Company and such subsidiaries will generally not be subject to U.S. federal income taxation with respect to aircraft or ships used in international traffic. No assurances can be given, however, that the Company and its subsidiaries will continue to be eligible for the exemption under Section 883 of the Code. If the Company or its subsidiaries were not eligible for the exemption under Section 883 of the Code, we expect that the U.S. source rental income of the Company and its subsidiaries would generally be subject to U.S. federal taxation, on a gross income basis, at a rate of not in excess of 4% as provided in Section 887 of the Code. If, contrary to expectations, either the Company or one of its subsidiaries did not comply with certain administrative guidelines of the IRS, such that 90% or more of the U.S. source rental income of the Company or one of its subsidiaries were attributable to the activities of personnel based in the United States (in the case of bareboat leases) or from “regularly scheduled transportation” as defined in such administrative guidelines (in the case of time-charter leases), Section 887 would not apply and such U.S. source rental income would instead be treated as income effectively connected with the conduct of a trade or business in the United States, taxed as described above.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38" w:name="page39"/>
    <w:bookmarkEnd w:id="3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Considerations for U.S. Holders</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3" w:lineRule="exact"/>
        <w:rPr>
          <w:sz w:val="20"/>
          <w:szCs w:val="20"/>
          <w:color w:val="auto"/>
        </w:rPr>
      </w:pPr>
    </w:p>
    <w:p>
      <w:pPr>
        <w:jc w:val="both"/>
        <w:ind w:left="400" w:right="399" w:firstLine="351"/>
        <w:spacing w:after="0" w:line="282" w:lineRule="auto"/>
        <w:rPr>
          <w:sz w:val="20"/>
          <w:szCs w:val="20"/>
          <w:color w:val="auto"/>
        </w:rPr>
      </w:pPr>
      <w:r>
        <w:rPr>
          <w:rFonts w:ascii="Times New Roman" w:cs="Times New Roman" w:eastAsia="Times New Roman" w:hAnsi="Times New Roman"/>
          <w:sz w:val="16"/>
          <w:szCs w:val="16"/>
          <w:color w:val="auto"/>
        </w:rPr>
        <w:t>Distributions of cash or property that the Company pays in respect of its shares will constitute dividends for U.S. federal income tax purposes to the extent paid out of the Company’s current or accumulated earnings and profits (as determined for U.S. federal income tax purposes) and, subject to the passive foreign investment company (“PFIC”) rules discussed below, will be includible in a U.S. Holder’s gross income as ordinary income upon receipt. Such dividends will not be eligible for the dividends received deduction generally allowed to U.S. corporations. Subject to the PFIC rules (if applicable), distributions to a U.S. Holder in excess of the Company’s earnings and profits will be treated first as a return of capital (with a corresponding reduction in such U.S. Holder’s tax basis in the shares) to the extent of such U.S. Holder’s tax basis in the shares on which the distribution was made (determined separately for each share), and then as gain from the sale or exchange of such shares.</w:t>
      </w:r>
    </w:p>
    <w:p>
      <w:pPr>
        <w:spacing w:after="0" w:line="273" w:lineRule="exact"/>
        <w:rPr>
          <w:sz w:val="20"/>
          <w:szCs w:val="20"/>
          <w:color w:val="auto"/>
        </w:rPr>
      </w:pPr>
    </w:p>
    <w:p>
      <w:pPr>
        <w:jc w:val="both"/>
        <w:ind w:left="400" w:right="399" w:firstLine="351"/>
        <w:spacing w:after="0" w:line="248" w:lineRule="auto"/>
        <w:rPr>
          <w:sz w:val="20"/>
          <w:szCs w:val="20"/>
          <w:color w:val="auto"/>
        </w:rPr>
      </w:pPr>
      <w:r>
        <w:rPr>
          <w:rFonts w:ascii="Times New Roman" w:cs="Times New Roman" w:eastAsia="Times New Roman" w:hAnsi="Times New Roman"/>
          <w:sz w:val="18"/>
          <w:szCs w:val="18"/>
          <w:color w:val="auto"/>
        </w:rPr>
        <w:t>An individual or other non-corporate U.S. Holder of our shares may be eligible for reduced rates of taxation, generally at the rates applicable to long-term capital gains, on dividends that are received from a qualified corporation if such qualified foreign corporation is neither a PFIC (as defined below) nor treated as such with respect to such U.S. Holder for the taxable year in which the dividend is paid or for the preceding taxable year; provided that certain holding period and other requirements are met. A Cayman Islands corporation is generally treated as a qualified foreign corporation with respect to dividends paid on its shares if such shares as “readily tradable” on an “established securities market” in the U.S., such as the NASDAQ.</w:t>
      </w:r>
    </w:p>
    <w:p>
      <w:pPr>
        <w:spacing w:after="0" w:line="84" w:lineRule="exact"/>
        <w:rPr>
          <w:sz w:val="20"/>
          <w:szCs w:val="20"/>
          <w:color w:val="auto"/>
        </w:rPr>
      </w:pPr>
    </w:p>
    <w:p>
      <w:pPr>
        <w:jc w:val="both"/>
        <w:ind w:left="400" w:right="399" w:firstLine="351"/>
        <w:spacing w:after="0" w:line="249" w:lineRule="auto"/>
        <w:rPr>
          <w:sz w:val="20"/>
          <w:szCs w:val="20"/>
          <w:color w:val="auto"/>
        </w:rPr>
      </w:pPr>
      <w:r>
        <w:rPr>
          <w:rFonts w:ascii="Times New Roman" w:cs="Times New Roman" w:eastAsia="Times New Roman" w:hAnsi="Times New Roman"/>
          <w:sz w:val="18"/>
          <w:szCs w:val="18"/>
          <w:color w:val="auto"/>
        </w:rPr>
        <w:t>For U.S. foreign tax credit purposes, dividends received on our common shares will generally be treated as income from sources outside the U.S. and will generally constitute passive category income. The rules regarding foreign tax credits and the deductibility of foreign taxes are complex and the application thereof depends in large part on the U.S. Holder’s individual facts and circumstances. All U.S. Holders should consult their tax advisors regarding the applicability of foreign tax credits and the deductibility of foreign taxes in light of their particular circumstances.</w:t>
      </w:r>
    </w:p>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Taxable Disposition of Shares</w:t>
      </w:r>
    </w:p>
    <w:p>
      <w:pPr>
        <w:spacing w:after="0" w:line="113" w:lineRule="exact"/>
        <w:rPr>
          <w:sz w:val="20"/>
          <w:szCs w:val="20"/>
          <w:color w:val="auto"/>
        </w:rPr>
      </w:pPr>
    </w:p>
    <w:p>
      <w:pPr>
        <w:jc w:val="both"/>
        <w:ind w:left="400" w:right="399" w:firstLine="351"/>
        <w:spacing w:after="0" w:line="249" w:lineRule="auto"/>
        <w:rPr>
          <w:sz w:val="20"/>
          <w:szCs w:val="20"/>
          <w:color w:val="auto"/>
        </w:rPr>
      </w:pPr>
      <w:r>
        <w:rPr>
          <w:rFonts w:ascii="Times New Roman" w:cs="Times New Roman" w:eastAsia="Times New Roman" w:hAnsi="Times New Roman"/>
          <w:sz w:val="18"/>
          <w:szCs w:val="18"/>
          <w:color w:val="auto"/>
        </w:rPr>
        <w:t>Upon the sale, exchange or other taxable disposition of shares, a U.S. Holder will generally recognize gain or loss equal to the difference, if any, between the amount realized on such sale, exchange or taxable disposition of Company shares and such U.S. Holder’s tax basis in the shares sold. Subject to the PFIC rules discussed below (if applicable), such gain or loss will generally be capital gain or loss and will be long-term capital gain or loss if such U.S. Holder’s holding period with respect to such shares is more than one year at the time of its disposition. The deductibility of capital losses is subject to limitations.</w:t>
      </w:r>
    </w:p>
    <w:p>
      <w:pPr>
        <w:spacing w:after="0" w:line="82"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Any gain or loss on the sale or other disposition of our common shares will generally be treated as U.S.-source income or loss for U.S. foreign tax credit purposes. The rules regarding foreign tax credits and the deductibility of foreign taxes are complex and the application thereof depends in large part on the U.S. Holder’s individual facts and circumstances. All U.S. Holders should consult their tax advisors regarding the applicability of foreign tax credits and the deductibility of foreign taxes in light of their particular circumstances.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PFIC Status and Related Tax Considerations</w:t>
      </w:r>
    </w:p>
    <w:p>
      <w:pPr>
        <w:spacing w:after="0" w:line="111" w:lineRule="exact"/>
        <w:rPr>
          <w:sz w:val="20"/>
          <w:szCs w:val="20"/>
          <w:color w:val="auto"/>
        </w:rPr>
      </w:pPr>
    </w:p>
    <w:p>
      <w:pPr>
        <w:jc w:val="both"/>
        <w:ind w:left="400" w:right="419" w:firstLine="351"/>
        <w:spacing w:after="0" w:line="247" w:lineRule="auto"/>
        <w:rPr>
          <w:sz w:val="20"/>
          <w:szCs w:val="20"/>
          <w:color w:val="auto"/>
        </w:rPr>
      </w:pPr>
      <w:r>
        <w:rPr>
          <w:rFonts w:ascii="Times New Roman" w:cs="Times New Roman" w:eastAsia="Times New Roman" w:hAnsi="Times New Roman"/>
          <w:sz w:val="18"/>
          <w:szCs w:val="18"/>
          <w:color w:val="auto"/>
        </w:rPr>
        <w:t>Under the Code, the Company will be a “passive foreign investment company” (a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for any taxable year in which either (i) 75% or more of the Company’s gross income consists of “passive income,” or (ii) 50% or more of the average quarterly value of the Company’s assets consists of assets that produce, or are held for the production of, “passive income.” For purposes of the above calculations, the Company will be treated as if it holds its proportionate share of the assets of, and receives directly its proportionate share of the income of, any other corporation in which it directly or indirectly owns at least 25%, by value, of the shares of such corporation. Passive income includes, among other things, dividends, interest, certain non-active rents and royalties, net gains from the sale or exchange of property producing such income and net foreign currency gains. For this purpose, cash and assets readily convertible into cash are categorized as passive assets.</w:t>
      </w:r>
    </w:p>
    <w:p>
      <w:pPr>
        <w:spacing w:after="0" w:line="87"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We believe that the Company was treated as a PFIC in the taxable years ended December 31, 2022, and December 31, 2023 (collectively with any other taxable years in which we are treated as a PFIC, the “</w:t>
      </w:r>
      <w:r>
        <w:rPr>
          <w:rFonts w:ascii="Times New Roman" w:cs="Times New Roman" w:eastAsia="Times New Roman" w:hAnsi="Times New Roman"/>
          <w:sz w:val="18"/>
          <w:szCs w:val="18"/>
          <w:b w:val="1"/>
          <w:bCs w:val="1"/>
          <w:color w:val="auto"/>
        </w:rPr>
        <w:t>PFIC Years</w:t>
      </w:r>
      <w:r>
        <w:rPr>
          <w:rFonts w:ascii="Times New Roman" w:cs="Times New Roman" w:eastAsia="Times New Roman" w:hAnsi="Times New Roman"/>
          <w:sz w:val="18"/>
          <w:szCs w:val="18"/>
          <w:color w:val="auto"/>
        </w:rPr>
        <w:t>”). Based on our analysis, the Company was not a PFIC for the taxable years ended December 31, 2024 and December 31, 2025, and we do not currently expect it to be treated as a PFIC thereafter. However, no assurance can be given in that regard.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39" w:name="page40"/>
    <w:bookmarkEnd w:id="3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2" w:lineRule="exact"/>
        <w:rPr>
          <w:sz w:val="20"/>
          <w:szCs w:val="20"/>
          <w:color w:val="auto"/>
        </w:rPr>
      </w:pPr>
    </w:p>
    <w:p>
      <w:pPr>
        <w:jc w:val="both"/>
        <w:ind w:left="400" w:right="399" w:firstLine="351"/>
        <w:spacing w:after="0" w:line="246" w:lineRule="auto"/>
        <w:rPr>
          <w:sz w:val="20"/>
          <w:szCs w:val="20"/>
          <w:color w:val="auto"/>
        </w:rPr>
      </w:pPr>
      <w:r>
        <w:rPr>
          <w:rFonts w:ascii="Times New Roman" w:cs="Times New Roman" w:eastAsia="Times New Roman" w:hAnsi="Times New Roman"/>
          <w:sz w:val="18"/>
          <w:szCs w:val="18"/>
          <w:color w:val="auto"/>
        </w:rPr>
        <w:t>If a U.S. Holder holds Company shares during a PFIC Year (assuming such U.S. Holder has not made a timely QEF election or mark-to-market election, as described below), gain recognized by a U.S. Holder on a sale or other disposition (including certain pledges) of the Company shares would be allocated ratably over the U.S. Holder’s holding period for the Company shares. The amounts allocated to the taxable year of the sale or other disposition and to any year before the Company became a PFIC would be taxed as ordinary income. The amount allocated to each other taxable year would be subject to tax at the highest rate in effect for individuals or corporations, as appropriate, for that taxable year, and an additional tax based on the interest charge generally applicable to underpayments of tax would be imposed on the amount allocated to that taxable year. Further, to the extent that any distribution received by a U.S. Holder on its Company shares exceeds 125% of the average of the annual distributions on the Company shares received during the preceding three years or the U.S. Holder’s holding period, whichever is shorter (an “</w:t>
      </w:r>
      <w:r>
        <w:rPr>
          <w:rFonts w:ascii="Times New Roman" w:cs="Times New Roman" w:eastAsia="Times New Roman" w:hAnsi="Times New Roman"/>
          <w:sz w:val="18"/>
          <w:szCs w:val="18"/>
          <w:b w:val="1"/>
          <w:bCs w:val="1"/>
          <w:color w:val="auto"/>
        </w:rPr>
        <w:t>Excess Distribution</w:t>
      </w:r>
      <w:r>
        <w:rPr>
          <w:rFonts w:ascii="Times New Roman" w:cs="Times New Roman" w:eastAsia="Times New Roman" w:hAnsi="Times New Roman"/>
          <w:sz w:val="18"/>
          <w:szCs w:val="18"/>
          <w:color w:val="auto"/>
        </w:rPr>
        <w:t>”), that distribution would be subject to taxation in the same manner as gain, described immediately above. Further, if a U.S. Holder holds Company shares during a PFIC year and any of the Company’s non-U.S. subsidiaries are also PFICs, the holder will be treated as owning a proportionate amount (by value) of the shares of each such non-U.S. subsidiary classified as a PFIC for purposes of the application of these rules and thus would be subject to the rules described above on income or gain recognized indirectly by the holder with respect to such subsidiaries.</w:t>
      </w:r>
    </w:p>
    <w:p>
      <w:pPr>
        <w:spacing w:after="0" w:line="83" w:lineRule="exact"/>
        <w:rPr>
          <w:sz w:val="20"/>
          <w:szCs w:val="20"/>
          <w:color w:val="auto"/>
        </w:rPr>
      </w:pPr>
    </w:p>
    <w:p>
      <w:pPr>
        <w:jc w:val="both"/>
        <w:ind w:left="400" w:right="399" w:firstLine="351"/>
        <w:spacing w:after="0" w:line="248" w:lineRule="auto"/>
        <w:rPr>
          <w:sz w:val="20"/>
          <w:szCs w:val="20"/>
          <w:color w:val="auto"/>
        </w:rPr>
      </w:pPr>
      <w:r>
        <w:rPr>
          <w:rFonts w:ascii="Times New Roman" w:cs="Times New Roman" w:eastAsia="Times New Roman" w:hAnsi="Times New Roman"/>
          <w:sz w:val="18"/>
          <w:szCs w:val="18"/>
          <w:color w:val="auto"/>
        </w:rPr>
        <w:t>The above rules generally continue to apply to each U.S. Holder who held our shares during any PFIC Year and has not made either (i) a valid qualified electing fund (“</w:t>
      </w:r>
      <w:r>
        <w:rPr>
          <w:rFonts w:ascii="Times New Roman" w:cs="Times New Roman" w:eastAsia="Times New Roman" w:hAnsi="Times New Roman"/>
          <w:sz w:val="18"/>
          <w:szCs w:val="18"/>
          <w:b w:val="1"/>
          <w:bCs w:val="1"/>
          <w:color w:val="auto"/>
        </w:rPr>
        <w:t>QEF</w:t>
      </w:r>
      <w:r>
        <w:rPr>
          <w:rFonts w:ascii="Times New Roman" w:cs="Times New Roman" w:eastAsia="Times New Roman" w:hAnsi="Times New Roman"/>
          <w:sz w:val="18"/>
          <w:szCs w:val="18"/>
          <w:color w:val="auto"/>
        </w:rPr>
        <w:t>”) election for the first PFIC Year in which such U.S. Holder held our shares or (ii) a “deemed sale” election under the PFIC rules, under which a U.S. Holder will be deemed to have sold our common shares at their fair market value as of the last day of the last year for which we were a PFIC (and under which any gain from such deemed sale would be treated as an Excess Distribution), even if the Company is not treated as a PFIC for any subsequent taxable year. U.S. Holders are urged to consult their tax advisors regarding the application of the PFIC rules to the Company and any of its subsidiaries.</w:t>
      </w:r>
    </w:p>
    <w:p>
      <w:pPr>
        <w:spacing w:after="0" w:line="84"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A U.S. Holder can avoid certain of the adverse rules described above by making a QEF election with respect to such PFIC, if the PFIC provides the information necessary for such election to be made. If a U.S. person makes a QEF election with respect to a PFIC, the U.S.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For each PFIC Year, we expect to provide information necessary for U.S. Holders to make a QEF election with respect to the Company by annually posting a “</w:t>
      </w:r>
      <w:r>
        <w:rPr>
          <w:rFonts w:ascii="Times New Roman" w:cs="Times New Roman" w:eastAsia="Times New Roman" w:hAnsi="Times New Roman"/>
          <w:sz w:val="18"/>
          <w:szCs w:val="18"/>
          <w:b w:val="1"/>
          <w:bCs w:val="1"/>
          <w:color w:val="auto"/>
        </w:rPr>
        <w:t>PFIC Annual Information Statement</w:t>
      </w:r>
      <w:r>
        <w:rPr>
          <w:rFonts w:ascii="Times New Roman" w:cs="Times New Roman" w:eastAsia="Times New Roman" w:hAnsi="Times New Roman"/>
          <w:sz w:val="18"/>
          <w:szCs w:val="18"/>
          <w:color w:val="auto"/>
        </w:rPr>
        <w:t>” on the Company’s website. However, no assurance can be given that we will be able to provide such information for each PFIC Year, and we do not expect to provide information necessary for U.S. Holders to make a QEF election for any subsidiaries of the Company which are PFICs.</w:t>
      </w:r>
    </w:p>
    <w:p>
      <w:pPr>
        <w:spacing w:after="0" w:line="83" w:lineRule="exact"/>
        <w:rPr>
          <w:sz w:val="20"/>
          <w:szCs w:val="20"/>
          <w:color w:val="auto"/>
        </w:rPr>
      </w:pPr>
    </w:p>
    <w:p>
      <w:pPr>
        <w:jc w:val="both"/>
        <w:ind w:left="400" w:right="399" w:firstLine="351"/>
        <w:spacing w:after="0" w:line="252" w:lineRule="auto"/>
        <w:rPr>
          <w:sz w:val="20"/>
          <w:szCs w:val="20"/>
          <w:color w:val="auto"/>
        </w:rPr>
      </w:pPr>
      <w:r>
        <w:rPr>
          <w:rFonts w:ascii="Times New Roman" w:cs="Times New Roman" w:eastAsia="Times New Roman" w:hAnsi="Times New Roman"/>
          <w:sz w:val="18"/>
          <w:szCs w:val="18"/>
          <w:color w:val="auto"/>
        </w:rPr>
        <w:t>If a U.S. Holder owns Company shares during any PFIC Year, the U.S. Holder must file annual reports, containing such information as the U.S. Treasury may require on IRS Form 8621 (or any successor form) with respect to the Company, with the U.S. Holder’s federal income tax return for that year, unless otherwise specified in the instructions with respect to such form.</w:t>
      </w:r>
    </w:p>
    <w:p>
      <w:pPr>
        <w:spacing w:after="0" w:line="79" w:lineRule="exact"/>
        <w:rPr>
          <w:sz w:val="20"/>
          <w:szCs w:val="20"/>
          <w:color w:val="auto"/>
        </w:rPr>
      </w:pPr>
    </w:p>
    <w:p>
      <w:pPr>
        <w:jc w:val="both"/>
        <w:ind w:left="400" w:right="399" w:firstLine="351"/>
        <w:spacing w:after="0" w:line="246" w:lineRule="auto"/>
        <w:rPr>
          <w:sz w:val="20"/>
          <w:szCs w:val="20"/>
          <w:color w:val="auto"/>
        </w:rPr>
      </w:pPr>
      <w:r>
        <w:rPr>
          <w:rFonts w:ascii="Times New Roman" w:cs="Times New Roman" w:eastAsia="Times New Roman" w:hAnsi="Times New Roman"/>
          <w:sz w:val="18"/>
          <w:szCs w:val="18"/>
          <w:color w:val="auto"/>
        </w:rPr>
        <w:t>In lieu of making a QEF election, a U.S. Holder can avoid certain of the adverse rules described above by making a mark-to-market election with respect to its Company shares; provided that Company shares are “marketable.” Company shares will be marketable if they are traded in other than de minimis quantities on at least 15 days during each calendar quarter (“regularly traded”) on a “qualified exchange” or other market within the meaning of applicable Treasury Regulations. We expect that Company shares will be listed on Nasdaq, which is a qualified exchange for these purposes, but no assurances may be given in this regard. Consequently, assuming that Company shares are regularly traded, if a U.S. Holder holds Company shares, it is expected that the mark-to-market election would be available to such holder. However, because a mark-to-market election cannot technically be made for any lower-tier PFICs that we may own, a U.S. Holder may continue to be subject to the PFIC rules with respect to such holder’s indirect interest in any investments held by the Company that are treated as an equity interest in a PFIC for U.S. federal income tax purposes.</w:t>
      </w:r>
    </w:p>
    <w:p>
      <w:pPr>
        <w:spacing w:after="0" w:line="90"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If a U.S. Holder makes the mark-to-market election, it will recognize as ordinary income any excess of the fair market value of the Company shares at the end of each taxable year over their adjusted tax basis, and will recognize an ordinary loss in respect of any excess of the adjusted tax basis of the Company shares over their fair market value at the end of the taxable year (but only to the extent of the net amount of income previously included as a result of the mark-to-market election). If a U.S. Holder makes the election, the U.S. Holder’s tax basis in the Company shares will be adjusted to reflect the income or loss amounts recognized. Any gain recognized on the sale or other disposition of Company shares in a year when the Company is a PFIC will be treated as ordinary income and any loss will be treated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40" w:name="page41"/>
    <w:bookmarkEnd w:id="4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2" w:lineRule="exact"/>
        <w:rPr>
          <w:sz w:val="20"/>
          <w:szCs w:val="20"/>
          <w:color w:val="auto"/>
        </w:rPr>
      </w:pPr>
    </w:p>
    <w:p>
      <w:pPr>
        <w:jc w:val="both"/>
        <w:ind w:left="400" w:right="419"/>
        <w:spacing w:after="0" w:line="248" w:lineRule="auto"/>
        <w:rPr>
          <w:sz w:val="20"/>
          <w:szCs w:val="20"/>
          <w:color w:val="auto"/>
        </w:rPr>
      </w:pPr>
      <w:r>
        <w:rPr>
          <w:rFonts w:ascii="Times New Roman" w:cs="Times New Roman" w:eastAsia="Times New Roman" w:hAnsi="Times New Roman"/>
          <w:sz w:val="18"/>
          <w:szCs w:val="18"/>
          <w:color w:val="auto"/>
        </w:rPr>
        <w:t>as an ordinary loss (but only to the extent of the net amount of income previously included as a result of the mark-to-market election). If a U.S. Holder makes such a mark-to-market election, tax rules that apply to distributions by corporations which are not PFICs would apply to distributions by the Company (except that the lower applicable capital gains rate for qualified dividend income would not apply). If a U.S. Holder makes a valid mark-to-market election for the Company during a PFIC Year, and the Company subsequently ceases to be classified as a PFIC, such U.S. Holder will not be required to take into account the mark-to-market income or loss described above during any period that the Company is not classified as a PFIC.</w:t>
      </w:r>
    </w:p>
    <w:p>
      <w:pPr>
        <w:spacing w:after="0" w:line="84" w:lineRule="exact"/>
        <w:rPr>
          <w:sz w:val="20"/>
          <w:szCs w:val="20"/>
          <w:color w:val="auto"/>
        </w:rPr>
      </w:pPr>
    </w:p>
    <w:p>
      <w:pPr>
        <w:jc w:val="both"/>
        <w:ind w:left="400" w:right="419" w:firstLine="351"/>
        <w:spacing w:after="0" w:line="269" w:lineRule="auto"/>
        <w:rPr>
          <w:sz w:val="20"/>
          <w:szCs w:val="20"/>
          <w:color w:val="auto"/>
        </w:rPr>
      </w:pPr>
      <w:r>
        <w:rPr>
          <w:rFonts w:ascii="Times New Roman" w:cs="Times New Roman" w:eastAsia="Times New Roman" w:hAnsi="Times New Roman"/>
          <w:sz w:val="18"/>
          <w:szCs w:val="18"/>
          <w:color w:val="auto"/>
        </w:rPr>
        <w:t>U.S. Holders should consult their tax advisers concerning the Company’s PFIC status and the application of the PFIC rules to their Company shares and the Company’s subsidiaries.</w:t>
      </w:r>
    </w:p>
    <w:p>
      <w:pPr>
        <w:spacing w:after="0" w:line="3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Redemption of Preferred Stock</w:t>
      </w:r>
    </w:p>
    <w:p>
      <w:pPr>
        <w:spacing w:after="0" w:line="113"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Subject to the PFIC rules described above (if applicable), the treatment of a redemption of the Company’s preferred shares will depend on whether the redemption qualifies as a sale of shares under Section 302 of the Code. If the redemption so qualifies, a U.S. Holder of the Company’s preferred shares would be treated as described above under the section titled “Sale, Exchange or Other Taxable Disposition of Shares.” If the redemption does not so qualify, such U.S. Holder would be treated as described above under the section titled “Dividends.” Whether a redemption of the Company’s preferred shares qualifies for sale treatment under Section 302 will depend on a number of factors, as determined at the time of such redemption. Each holder of the Company’s preferred shares is urged to consult with its tax advisors as to the tax considerations of any redemption of the Company’s preferred shares.</w:t>
      </w:r>
    </w:p>
    <w:p>
      <w:pPr>
        <w:spacing w:after="0" w:line="83" w:lineRule="exact"/>
        <w:rPr>
          <w:sz w:val="20"/>
          <w:szCs w:val="20"/>
          <w:color w:val="auto"/>
        </w:rPr>
      </w:pPr>
    </w:p>
    <w:p>
      <w:pPr>
        <w:jc w:val="both"/>
        <w:ind w:left="400" w:right="399" w:firstLine="351"/>
        <w:spacing w:after="0" w:line="282" w:lineRule="auto"/>
        <w:rPr>
          <w:sz w:val="20"/>
          <w:szCs w:val="20"/>
          <w:color w:val="auto"/>
        </w:rPr>
      </w:pPr>
      <w:r>
        <w:rPr>
          <w:rFonts w:ascii="Times New Roman" w:cs="Times New Roman" w:eastAsia="Times New Roman" w:hAnsi="Times New Roman"/>
          <w:sz w:val="16"/>
          <w:szCs w:val="16"/>
          <w:b w:val="1"/>
          <w:bCs w:val="1"/>
          <w:color w:val="auto"/>
        </w:rPr>
        <w:t>THE FOREGOING SUMMARY DOES NOT PURPORT TO BE A COMPLETE DISCUSSION OF THE POTENTIAL TAX CONSIDERATIONS APPLICABLE TO THE OWNERSHIP AND DISPOSITION OF COMPANY SHARES. THE U.S. FEDERAL INCOME TAX DISCUSSION SET FORTH ABOVE IS INCLUDED FOR GENERAL INFORMATION ONLY AND MAY NOT BE APPLICABLE TO A HOLDER DEPENDING UPON THE HOLDER’S PARTICULAR SITUATION. EACH HOLDER IS URGED TO CONSULT ITS TAX ADVISOR WITH RESPECT TO THE TAX CONSEQUENCES TO THE HOLDER OF THE OWNERSHIP AND DISPOSITION OF COMPANY SHARES, INCLUDING THE TAX CONSEQUENCES UNDER STATE, LOCAL, ESTATE, FOREIGN AND OTHER TAX LAWS AND TAX TREATIES AND THE POSSIBLE EFFECTS OF CHANGES IN U.S. OR OTHER TAX LAWS. NOTHING IN THIS SUMMARY IS INTENDED TO BE, OR SHOULD BE CONSTRUED AS, TAX ADVICE.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41" w:name="page42"/>
    <w:bookmarkEnd w:id="4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ERISA AND OTHER BENEFIT PLAN CONSIDERATIONS</w:t>
      </w:r>
    </w:p>
    <w:p>
      <w:pPr>
        <w:spacing w:after="0" w:line="111" w:lineRule="exact"/>
        <w:rPr>
          <w:sz w:val="20"/>
          <w:szCs w:val="20"/>
          <w:color w:val="auto"/>
        </w:rPr>
      </w:pPr>
    </w:p>
    <w:p>
      <w:pPr>
        <w:jc w:val="both"/>
        <w:ind w:left="400" w:right="399" w:firstLine="351"/>
        <w:spacing w:after="0" w:line="252" w:lineRule="auto"/>
        <w:rPr>
          <w:sz w:val="20"/>
          <w:szCs w:val="20"/>
          <w:color w:val="auto"/>
        </w:rPr>
      </w:pPr>
      <w:r>
        <w:rPr>
          <w:rFonts w:ascii="Times New Roman" w:cs="Times New Roman" w:eastAsia="Times New Roman" w:hAnsi="Times New Roman"/>
          <w:sz w:val="18"/>
          <w:szCs w:val="18"/>
          <w:color w:val="auto"/>
        </w:rPr>
        <w:t>A plan fiduciary considering an investment in the securities should consider, among other things, whether such an investment might constitute or give rise to a prohibited transaction under the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Section 4975 of the Code or any substantially similar federal, state, local or non-U.S. law. ERISA and/or the Code impose restrictions on:</w:t>
      </w:r>
    </w:p>
    <w:p>
      <w:pPr>
        <w:spacing w:after="0" w:line="26" w:lineRule="exact"/>
        <w:rPr>
          <w:sz w:val="20"/>
          <w:szCs w:val="20"/>
          <w:color w:val="auto"/>
        </w:rPr>
      </w:pPr>
    </w:p>
    <w:p>
      <w:pPr>
        <w:ind w:left="1080" w:hanging="335"/>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 as defined in Section 3(3) of ERISA that are subject to Title I of ERISA,</w:t>
      </w:r>
    </w:p>
    <w:p>
      <w:pPr>
        <w:spacing w:after="0" w:line="56"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described in Section 4975(e)(1) of the Code that are subject to Section 4975 of the Internal Revenue Code, including individual retirement accounts and Keogh Plans,</w:t>
      </w:r>
    </w:p>
    <w:p>
      <w:pPr>
        <w:spacing w:after="0" w:line="10" w:lineRule="exact"/>
        <w:rPr>
          <w:rFonts w:ascii="Times New Roman" w:cs="Times New Roman" w:eastAsia="Times New Roman" w:hAnsi="Times New Roman"/>
          <w:sz w:val="18"/>
          <w:szCs w:val="18"/>
          <w:color w:val="auto"/>
        </w:rPr>
      </w:pPr>
    </w:p>
    <w:p>
      <w:pPr>
        <w:jc w:val="both"/>
        <w:ind w:left="1080" w:right="419" w:hanging="335"/>
        <w:spacing w:after="0" w:line="25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whose underlying assets include “plan assets” of such plans and arrangements by reason of a plan’s investment in such entities including, without limitation, certain insurance company general accounts (each of the foregoing plans and entities, a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w:t>
      </w:r>
    </w:p>
    <w:p>
      <w:pPr>
        <w:spacing w:after="0" w:line="22"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certain specified relationships to a Plan described as “parties in interest” under ERISA and “disqualified persons” under the Internal Revenue Code, including fiduciaries to a Plan.</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Prohibited Transactions</w:t>
      </w:r>
    </w:p>
    <w:p>
      <w:pPr>
        <w:spacing w:after="0" w:line="111"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ERISA imposes certain duties on persons who are fiduciaries of a Plan subject to Title I of ERISA. Under ERISA, any person who exercises any authority or control over the management or disposition of a Plan’s assets is considered to be a fiduciary of that Plan. Both ERISA and the Code prohibit certain transactions involving “plan assets” between a Plan and parties in interest or disqualified persons. Violations of these rules may result in the imposition of excise taxes, penalties and other liabilities, and the transaction might need to be reversed. Neither we nor any of our affiliates, officers, employees or agents is undertaking to provide investment advice or any recommendation in a fiduciary capacity in connection with any Plan (including any IRA) fiduciary’s decision acquire or hold any security issued pursuant hereto.</w:t>
      </w:r>
    </w:p>
    <w:p>
      <w:pPr>
        <w:spacing w:after="0" w:line="87" w:lineRule="exact"/>
        <w:rPr>
          <w:sz w:val="20"/>
          <w:szCs w:val="20"/>
          <w:color w:val="auto"/>
        </w:rPr>
      </w:pPr>
    </w:p>
    <w:p>
      <w:pPr>
        <w:jc w:val="both"/>
        <w:ind w:left="400" w:right="399" w:firstLine="351"/>
        <w:spacing w:after="0" w:line="280" w:lineRule="auto"/>
        <w:rPr>
          <w:sz w:val="20"/>
          <w:szCs w:val="20"/>
          <w:color w:val="auto"/>
        </w:rPr>
      </w:pPr>
      <w:r>
        <w:rPr>
          <w:rFonts w:ascii="Times New Roman" w:cs="Times New Roman" w:eastAsia="Times New Roman" w:hAnsi="Times New Roman"/>
          <w:sz w:val="16"/>
          <w:szCs w:val="16"/>
          <w:color w:val="auto"/>
        </w:rPr>
        <w:t>The direct or indirect purchase of the securities by a Plan with respect to which we are party in interest or a disqualified person could be treated as or give rise to a prohibited transaction under ERISA or the Code. There are, however, a number of statutory and administrative exemptions that potentially could be applicable to a Plan’s investment in the securities, depending upon various factors, including, without limitation: (i) the statutory exemption under Section 408(b)(17) of ERISA and Section 4975(d)(20) of the Code for certain transactions with non-fiduciary service providers; (ii) Prohibited Transaction Class Exemption (“</w:t>
      </w:r>
      <w:r>
        <w:rPr>
          <w:rFonts w:ascii="Times New Roman" w:cs="Times New Roman" w:eastAsia="Times New Roman" w:hAnsi="Times New Roman"/>
          <w:sz w:val="16"/>
          <w:szCs w:val="16"/>
          <w:b w:val="1"/>
          <w:bCs w:val="1"/>
          <w:color w:val="auto"/>
        </w:rPr>
        <w:t>PTCE</w:t>
      </w:r>
      <w:r>
        <w:rPr>
          <w:rFonts w:ascii="Times New Roman" w:cs="Times New Roman" w:eastAsia="Times New Roman" w:hAnsi="Times New Roman"/>
          <w:sz w:val="16"/>
          <w:szCs w:val="16"/>
          <w:color w:val="auto"/>
        </w:rPr>
        <w:t>”) 84-14 for certain transactions determined by independent “qualified professional asset managers”; (iii) PTCE 90-1 for certain transactions involving insurance company pooled separate accounts; (iv) PTCE 91-38 for certain transactions involving bank collective investment funds; (v) PTCE 96-23 for certain transactions determined by “in-house asset managers”; and (vi) PTCE 95-60 for certain transactions involving insurance company general accounts. Each of the above-described exemptions has various requirements and limitations. There can be no assurance that any of the above-described exemptions or any other exemption would apply to any particular prohibited transaction that might arise in connection with any particular Plan’s acquisition and holding of any security issued hereunder.</w:t>
      </w:r>
    </w:p>
    <w:p>
      <w:pPr>
        <w:spacing w:after="0" w:line="3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The Plan Assets Regulation</w:t>
      </w:r>
    </w:p>
    <w:p>
      <w:pPr>
        <w:spacing w:after="0" w:line="109" w:lineRule="exact"/>
        <w:rPr>
          <w:sz w:val="20"/>
          <w:szCs w:val="20"/>
          <w:color w:val="auto"/>
        </w:rPr>
      </w:pPr>
    </w:p>
    <w:p>
      <w:pPr>
        <w:jc w:val="both"/>
        <w:ind w:left="400" w:right="399" w:firstLine="351"/>
        <w:spacing w:after="0" w:line="251" w:lineRule="auto"/>
        <w:rPr>
          <w:sz w:val="20"/>
          <w:szCs w:val="20"/>
          <w:color w:val="auto"/>
        </w:rPr>
      </w:pPr>
      <w:r>
        <w:rPr>
          <w:rFonts w:ascii="Times New Roman" w:cs="Times New Roman" w:eastAsia="Times New Roman" w:hAnsi="Times New Roman"/>
          <w:sz w:val="18"/>
          <w:szCs w:val="18"/>
          <w:color w:val="auto"/>
        </w:rPr>
        <w:t>Under 29 C.F.R. 2510.3-101, as modified by Section 3(42) of ERISA (the “</w:t>
      </w:r>
      <w:r>
        <w:rPr>
          <w:rFonts w:ascii="Times New Roman" w:cs="Times New Roman" w:eastAsia="Times New Roman" w:hAnsi="Times New Roman"/>
          <w:sz w:val="18"/>
          <w:szCs w:val="18"/>
          <w:b w:val="1"/>
          <w:bCs w:val="1"/>
          <w:color w:val="auto"/>
        </w:rPr>
        <w:t>Plan Assets Regulation</w:t>
      </w:r>
      <w:r>
        <w:rPr>
          <w:rFonts w:ascii="Times New Roman" w:cs="Times New Roman" w:eastAsia="Times New Roman" w:hAnsi="Times New Roman"/>
          <w:sz w:val="18"/>
          <w:szCs w:val="18"/>
          <w:color w:val="auto"/>
        </w:rPr>
        <w:t>”), a Plan’s assets may be deemed to include an interest in the underlying assets of an entity if the Plan acquires an “equity interest” in such an entity and no exception under the Plan Asset Regulation is applicable. In that event, the operations of such an entity would be subject to, and could result in prohibited transactions and other violations under, ERISA and the Code.</w:t>
      </w:r>
    </w:p>
    <w:p>
      <w:pPr>
        <w:spacing w:after="0" w:line="79" w:lineRule="exact"/>
        <w:rPr>
          <w:sz w:val="20"/>
          <w:szCs w:val="20"/>
          <w:color w:val="auto"/>
        </w:rPr>
      </w:pPr>
    </w:p>
    <w:p>
      <w:pPr>
        <w:jc w:val="both"/>
        <w:ind w:left="400" w:right="399" w:firstLine="351"/>
        <w:spacing w:after="0" w:line="256" w:lineRule="auto"/>
        <w:rPr>
          <w:sz w:val="20"/>
          <w:szCs w:val="20"/>
          <w:color w:val="auto"/>
        </w:rPr>
      </w:pPr>
      <w:r>
        <w:rPr>
          <w:rFonts w:ascii="Times New Roman" w:cs="Times New Roman" w:eastAsia="Times New Roman" w:hAnsi="Times New Roman"/>
          <w:sz w:val="18"/>
          <w:szCs w:val="18"/>
          <w:color w:val="auto"/>
        </w:rPr>
        <w:t>Under the Plan Assets Regulation, if a Plan acquires a “publicly offered security,” the issuer of the security is not deemed to hold plan assets of the investing Plan as a result of such acquisition. A publicly offered security is a security that:</w:t>
      </w:r>
    </w:p>
    <w:p>
      <w:pPr>
        <w:spacing w:after="0" w:line="23" w:lineRule="exact"/>
        <w:rPr>
          <w:sz w:val="20"/>
          <w:szCs w:val="20"/>
          <w:color w:val="auto"/>
        </w:rPr>
      </w:pPr>
    </w:p>
    <w:p>
      <w:pPr>
        <w:ind w:left="1080" w:hanging="335"/>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freely transferable,</w:t>
      </w:r>
    </w:p>
    <w:p>
      <w:pPr>
        <w:spacing w:after="0" w:line="56"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part of a class of securities that is owned by 100 or more investors independent of the issuer and of one another, and</w:t>
      </w:r>
    </w:p>
    <w:p>
      <w:pPr>
        <w:spacing w:after="0" w:line="10"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either:</w:t>
      </w:r>
    </w:p>
    <w:p>
      <w:pPr>
        <w:spacing w:after="0" w:line="109" w:lineRule="exact"/>
        <w:rPr>
          <w:rFonts w:ascii="Times New Roman" w:cs="Times New Roman" w:eastAsia="Times New Roman" w:hAnsi="Times New Roman"/>
          <w:sz w:val="18"/>
          <w:szCs w:val="18"/>
          <w:color w:val="auto"/>
        </w:rPr>
      </w:pPr>
    </w:p>
    <w:p>
      <w:pPr>
        <w:ind w:left="1440" w:hanging="344"/>
        <w:spacing w:after="0"/>
        <w:tabs>
          <w:tab w:leader="none" w:pos="14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of a class of securities registered under Section 12(b) or 12(g) of the Exchange Act, or</w:t>
      </w:r>
    </w:p>
    <w:p>
      <w:pPr>
        <w:spacing w:after="0" w:line="109" w:lineRule="exact"/>
        <w:rPr>
          <w:rFonts w:ascii="Times New Roman" w:cs="Times New Roman" w:eastAsia="Times New Roman" w:hAnsi="Times New Roman"/>
          <w:sz w:val="18"/>
          <w:szCs w:val="18"/>
          <w:color w:val="auto"/>
        </w:rPr>
      </w:pPr>
    </w:p>
    <w:p>
      <w:pPr>
        <w:jc w:val="both"/>
        <w:ind w:left="1440" w:right="419" w:hanging="344"/>
        <w:spacing w:after="0" w:line="256" w:lineRule="auto"/>
        <w:tabs>
          <w:tab w:leader="none" w:pos="14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to the Plan as part of an offering of securities to the public pursuant to an effective registration statement under the Securities Act and the class of securities of which such security is part is registered under the Exchange Act within the requisite time.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42" w:name="page43"/>
    <w:bookmarkEnd w:id="4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Treatment of our Shares as “Publicly Offered Securities”</w:t>
      </w:r>
    </w:p>
    <w:p>
      <w:pPr>
        <w:spacing w:after="0" w:line="111" w:lineRule="exact"/>
        <w:rPr>
          <w:sz w:val="20"/>
          <w:szCs w:val="20"/>
          <w:color w:val="auto"/>
        </w:rPr>
      </w:pPr>
    </w:p>
    <w:p>
      <w:pPr>
        <w:jc w:val="both"/>
        <w:ind w:left="400" w:right="419" w:firstLine="351"/>
        <w:spacing w:after="0" w:line="269" w:lineRule="auto"/>
        <w:rPr>
          <w:sz w:val="20"/>
          <w:szCs w:val="20"/>
          <w:color w:val="auto"/>
        </w:rPr>
      </w:pPr>
      <w:r>
        <w:rPr>
          <w:rFonts w:ascii="Times New Roman" w:cs="Times New Roman" w:eastAsia="Times New Roman" w:hAnsi="Times New Roman"/>
          <w:sz w:val="18"/>
          <w:szCs w:val="18"/>
          <w:color w:val="auto"/>
        </w:rPr>
        <w:t>We believe our ordinary shares, Series C Preferred Shares and Series D Preferred Shares will meet the above criteria of publicly offered securities.</w:t>
      </w:r>
    </w:p>
    <w:p>
      <w:pPr>
        <w:spacing w:after="0" w:line="63" w:lineRule="exact"/>
        <w:rPr>
          <w:sz w:val="20"/>
          <w:szCs w:val="20"/>
          <w:color w:val="auto"/>
        </w:rPr>
      </w:pPr>
    </w:p>
    <w:p>
      <w:pPr>
        <w:jc w:val="both"/>
        <w:ind w:left="400" w:right="399" w:firstLine="351"/>
        <w:spacing w:after="0" w:line="256" w:lineRule="auto"/>
        <w:rPr>
          <w:sz w:val="20"/>
          <w:szCs w:val="20"/>
          <w:color w:val="auto"/>
        </w:rPr>
      </w:pPr>
      <w:r>
        <w:rPr>
          <w:rFonts w:ascii="Times New Roman" w:cs="Times New Roman" w:eastAsia="Times New Roman" w:hAnsi="Times New Roman"/>
          <w:sz w:val="18"/>
          <w:szCs w:val="18"/>
          <w:color w:val="auto"/>
        </w:rPr>
        <w:t>The applicability of the “publicly offered securities” exception or another exception under the Plan Assets Regulation to other securities registered on the registration statement of which this prospectus forms a part will be discussed as appropriate in the applicable prospectus supplement.</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Governmental, Foreign and Church Plans</w:t>
      </w:r>
    </w:p>
    <w:p>
      <w:pPr>
        <w:spacing w:after="0" w:line="111" w:lineRule="exact"/>
        <w:rPr>
          <w:sz w:val="20"/>
          <w:szCs w:val="20"/>
          <w:color w:val="auto"/>
        </w:rPr>
      </w:pPr>
    </w:p>
    <w:p>
      <w:pPr>
        <w:jc w:val="both"/>
        <w:ind w:left="400" w:right="399" w:firstLine="351"/>
        <w:spacing w:after="0" w:line="248" w:lineRule="auto"/>
        <w:rPr>
          <w:sz w:val="20"/>
          <w:szCs w:val="20"/>
          <w:color w:val="auto"/>
        </w:rPr>
      </w:pPr>
      <w:r>
        <w:rPr>
          <w:rFonts w:ascii="Times New Roman" w:cs="Times New Roman" w:eastAsia="Times New Roman" w:hAnsi="Times New Roman"/>
          <w:sz w:val="18"/>
          <w:szCs w:val="18"/>
          <w:color w:val="auto"/>
        </w:rPr>
        <w:t>Governmental plans (as defined in Section 3(32) of ERISA), foreign plans (as described in Section 4(b)(4) of ERISA) and certain church plans (as defined in Section 3(33) of ERISA) are not subject to the fiduciary responsibility provisions of ERISA or the provisions of Section 4975 of the Code. Such plans may, however, be subject to other federal, state, local or non-U.S. laws that are substantially similar to the foregoing provisions of ERISA and the Code (“</w:t>
      </w:r>
      <w:r>
        <w:rPr>
          <w:rFonts w:ascii="Times New Roman" w:cs="Times New Roman" w:eastAsia="Times New Roman" w:hAnsi="Times New Roman"/>
          <w:sz w:val="18"/>
          <w:szCs w:val="18"/>
          <w:b w:val="1"/>
          <w:bCs w:val="1"/>
          <w:color w:val="auto"/>
        </w:rPr>
        <w:t>Similar Law</w:t>
      </w:r>
      <w:r>
        <w:rPr>
          <w:rFonts w:ascii="Times New Roman" w:cs="Times New Roman" w:eastAsia="Times New Roman" w:hAnsi="Times New Roman"/>
          <w:sz w:val="18"/>
          <w:szCs w:val="18"/>
          <w:color w:val="auto"/>
        </w:rPr>
        <w:t>”). In addition, any such plan that is qualified and exempt from taxation under the Code may be subject to other prohibited transaction rules set forth in Section 503 of the Code. Fiduciaries of such plans should consult with their counsel before purchasing any of the securities.</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General Investment Considerations</w:t>
      </w:r>
    </w:p>
    <w:p>
      <w:pPr>
        <w:spacing w:after="0" w:line="111"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Fiduciaries of a Plan (including, without limitation, an entity whose assets include plan assets, including, to the extent applicable, an insurance company general account, insurance company separate account or collective investment fund) considering the purchase of the securities should consult with their legal advisors concerning the impact of ERISA and the Code and the potential consequences of making an investment in the securities with respect to their specific circumstances. Each Plan fiduciary should take into account, among other considerations:</w:t>
      </w:r>
    </w:p>
    <w:p>
      <w:pPr>
        <w:spacing w:after="0" w:line="29" w:lineRule="exact"/>
        <w:rPr>
          <w:sz w:val="20"/>
          <w:szCs w:val="20"/>
          <w:color w:val="auto"/>
        </w:rPr>
      </w:pPr>
    </w:p>
    <w:p>
      <w:pPr>
        <w:ind w:left="1080" w:right="419" w:hanging="335"/>
        <w:spacing w:after="0" w:line="269"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Plan’s investment could give rise to a non-exempt prohibited transaction under ERISA or Section 4975 of the Code,</w:t>
      </w:r>
    </w:p>
    <w:p>
      <w:pPr>
        <w:spacing w:after="0" w:line="10"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fiduciary has the authority to make the investment,</w:t>
      </w:r>
    </w:p>
    <w:p>
      <w:pPr>
        <w:spacing w:after="0" w:line="56"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the Plan’s portfolio with respect to diversification by type of asset,</w:t>
      </w:r>
    </w:p>
    <w:p>
      <w:pPr>
        <w:spacing w:after="0" w:line="56"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Plan’s funding objectives,</w:t>
      </w:r>
    </w:p>
    <w:p>
      <w:pPr>
        <w:spacing w:after="0" w:line="56"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effects of the investment,</w:t>
      </w:r>
    </w:p>
    <w:p>
      <w:pPr>
        <w:spacing w:after="0" w:line="56"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assets would be considered plan assets, and</w:t>
      </w:r>
    </w:p>
    <w:p>
      <w:pPr>
        <w:spacing w:after="0" w:line="56" w:lineRule="exact"/>
        <w:rPr>
          <w:rFonts w:ascii="Times New Roman" w:cs="Times New Roman" w:eastAsia="Times New Roman" w:hAnsi="Times New Roman"/>
          <w:sz w:val="18"/>
          <w:szCs w:val="18"/>
          <w:color w:val="auto"/>
        </w:rPr>
      </w:pPr>
    </w:p>
    <w:p>
      <w:pPr>
        <w:jc w:val="both"/>
        <w:ind w:left="1080" w:right="419" w:hanging="335"/>
        <w:spacing w:after="0" w:line="25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under the general fiduciary standards of investment prudence and diversification an investment in any of the securities is appropriate for the Plan taking into account the overall investment policy of the Plan and the composition of the Plan’s applicable investment portfolio.</w:t>
      </w:r>
    </w:p>
    <w:p>
      <w:pPr>
        <w:spacing w:after="0" w:line="75"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The discussion of ERISA and Section 4975 of the Code contained herein is, of necessity, general and does not purport to be complete. Moreover, the provisions of ERISA and Section 4975 of the Code are subject to extensive and continuing administrative and judicial interpretation and review. Therefore, the matters discussed above may be affected by future regulations, rulings, and court decisions, some of which may have retroactive application and effect.</w:t>
      </w:r>
    </w:p>
    <w:p>
      <w:pPr>
        <w:spacing w:after="0" w:line="81" w:lineRule="exact"/>
        <w:rPr>
          <w:sz w:val="20"/>
          <w:szCs w:val="20"/>
          <w:color w:val="auto"/>
        </w:rPr>
      </w:pPr>
    </w:p>
    <w:p>
      <w:pPr>
        <w:jc w:val="both"/>
        <w:ind w:left="400" w:right="399" w:firstLine="351"/>
        <w:spacing w:after="0" w:line="279" w:lineRule="auto"/>
        <w:rPr>
          <w:sz w:val="20"/>
          <w:szCs w:val="20"/>
          <w:color w:val="auto"/>
        </w:rPr>
      </w:pPr>
      <w:r>
        <w:rPr>
          <w:rFonts w:ascii="Times New Roman" w:cs="Times New Roman" w:eastAsia="Times New Roman" w:hAnsi="Times New Roman"/>
          <w:sz w:val="16"/>
          <w:szCs w:val="16"/>
          <w:color w:val="auto"/>
        </w:rPr>
        <w:t>ANY POTENTIAL INVESTOR CONSIDERING AN INVESTMENT IN THE SECURITIES THAT IS, OR IS ACTING ON BEHALF OF, A PLAN (OR A GOVERNMENTAL, FOREIGN OR CHURCH PLAN SUBJECT TO LAWS SIMILAR TO ERISA AND/OR SECTION 4975 OF THE CODE) SHOULD CONSULT WITH ITS OWN LEGAL, TAX AND ERISA ADVISERS REGARDING THE CONSEQUENCES OF SUCH AN INVESTMENT. EACH SUCH INVESTOR, BY ACQUIRING ANY OF THE SECURITIES (INCLUDING ANY INTEREST IN A SECURITY) REGISTERED ON THE REGISTRATION STATEMENT OF WHICH THIS PROSPECTUS FORMS A PART SHALL BE DEEMED TO REPRESENT THAT (A) ITS ACQUISITION OF SUCH SECURITIES DOES NOT CONSTITUTE AND WILL NOT RESULT IN A NON-EXEMPT PROHIBITED TRANSACTION UNDER ERISA OR SECTION 4975 OF THE CODE OR A SIMILAR VIOLATION OF ANY SIMILAR, AND (B) IF IT IS A PLAN, NEITHER WE NOR ANY OF OUR AFFILIATES, OFFICERS, EMPLOYEES OR AGENTS WILL BE A FIDUCIARY WITH RESPECT TO THE PLANS INVESTMENT IN ANY SECURITY ISSUED PURSUANT HERETO. THE RESPONSIBLE FIDUCIARY OF ANY PLAN INVESTOR HAS THE SOLE RESPONSIBILITY FOR DETERMINING THAT SUCH AN INVESTMENT WILL NOT RESULT IN A PROHIBITED TRANSACTION UNDER ERISA OF SECTION 4975 OF THE CODE, AND DOES NOT OTHERWISE VIOLATE ERISA OR ANY SIMILAR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43" w:name="page44"/>
    <w:bookmarkEnd w:id="4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11" w:lineRule="exact"/>
        <w:rPr>
          <w:sz w:val="20"/>
          <w:szCs w:val="20"/>
          <w:color w:val="auto"/>
        </w:rPr>
      </w:pPr>
    </w:p>
    <w:p>
      <w:pPr>
        <w:ind w:left="400" w:right="419" w:firstLine="351"/>
        <w:spacing w:after="0" w:line="269" w:lineRule="auto"/>
        <w:rPr>
          <w:sz w:val="20"/>
          <w:szCs w:val="20"/>
          <w:color w:val="auto"/>
        </w:rPr>
      </w:pPr>
      <w:r>
        <w:rPr>
          <w:rFonts w:ascii="Times New Roman" w:cs="Times New Roman" w:eastAsia="Times New Roman" w:hAnsi="Times New Roman"/>
          <w:sz w:val="18"/>
          <w:szCs w:val="18"/>
          <w:color w:val="auto"/>
        </w:rPr>
        <w:t>We or the selling shareholders may offer and sell the securities offered by this prospectus from time to time in one or more transactions, including without limitation:</w:t>
      </w:r>
    </w:p>
    <w:p>
      <w:pPr>
        <w:spacing w:after="0" w:line="63" w:lineRule="exact"/>
        <w:rPr>
          <w:sz w:val="20"/>
          <w:szCs w:val="20"/>
          <w:color w:val="auto"/>
        </w:rPr>
      </w:pPr>
    </w:p>
    <w:p>
      <w:pPr>
        <w:ind w:left="1080" w:hanging="335"/>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or dealers; or</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w:t>
      </w:r>
    </w:p>
    <w:p>
      <w:pPr>
        <w:spacing w:after="0" w:line="109" w:lineRule="exact"/>
        <w:rPr>
          <w:sz w:val="20"/>
          <w:szCs w:val="20"/>
          <w:color w:val="auto"/>
        </w:rPr>
      </w:pPr>
    </w:p>
    <w:p>
      <w:pPr>
        <w:jc w:val="both"/>
        <w:ind w:left="400" w:right="399" w:firstLine="351"/>
        <w:spacing w:after="0" w:line="256" w:lineRule="auto"/>
        <w:rPr>
          <w:sz w:val="20"/>
          <w:szCs w:val="20"/>
          <w:color w:val="auto"/>
        </w:rPr>
      </w:pPr>
      <w:r>
        <w:rPr>
          <w:rFonts w:ascii="Times New Roman" w:cs="Times New Roman" w:eastAsia="Times New Roman" w:hAnsi="Times New Roman"/>
          <w:sz w:val="18"/>
          <w:szCs w:val="18"/>
          <w:color w:val="auto"/>
        </w:rPr>
        <w:t>A distribution of the securities offered by this prospectus may also be effected through the issuance of derivative securities, including, without limitation, warrants, subscriptions, exchangeable securities, forward delivery contracts and the writing of options.</w:t>
      </w:r>
    </w:p>
    <w:p>
      <w:pPr>
        <w:spacing w:after="0" w:line="75" w:lineRule="exact"/>
        <w:rPr>
          <w:sz w:val="20"/>
          <w:szCs w:val="20"/>
          <w:color w:val="auto"/>
        </w:rPr>
      </w:pPr>
    </w:p>
    <w:p>
      <w:pPr>
        <w:jc w:val="both"/>
        <w:ind w:left="400" w:right="419" w:firstLine="351"/>
        <w:spacing w:after="0" w:line="332" w:lineRule="auto"/>
        <w:rPr>
          <w:sz w:val="20"/>
          <w:szCs w:val="20"/>
          <w:color w:val="auto"/>
        </w:rPr>
      </w:pPr>
      <w:r>
        <w:rPr>
          <w:rFonts w:ascii="Times New Roman" w:cs="Times New Roman" w:eastAsia="Times New Roman" w:hAnsi="Times New Roman"/>
          <w:sz w:val="16"/>
          <w:szCs w:val="16"/>
          <w:color w:val="auto"/>
        </w:rPr>
        <w:t>If indicated in an applicable prospectus supplement, we may sell our ordinary shares under a newly established dividend reinvestment plan. The terms of any such plan will be set forth in the applicable prospectus supplement.</w:t>
      </w:r>
    </w:p>
    <w:p>
      <w:pPr>
        <w:spacing w:after="0" w:line="18" w:lineRule="exact"/>
        <w:rPr>
          <w:sz w:val="20"/>
          <w:szCs w:val="20"/>
          <w:color w:val="auto"/>
        </w:rPr>
      </w:pPr>
    </w:p>
    <w:p>
      <w:pPr>
        <w:jc w:val="both"/>
        <w:ind w:left="400" w:right="399" w:firstLine="351"/>
        <w:spacing w:after="0" w:line="269" w:lineRule="auto"/>
        <w:rPr>
          <w:sz w:val="20"/>
          <w:szCs w:val="20"/>
          <w:color w:val="auto"/>
        </w:rPr>
      </w:pPr>
      <w:r>
        <w:rPr>
          <w:rFonts w:ascii="Times New Roman" w:cs="Times New Roman" w:eastAsia="Times New Roman" w:hAnsi="Times New Roman"/>
          <w:sz w:val="18"/>
          <w:szCs w:val="18"/>
          <w:color w:val="auto"/>
        </w:rPr>
        <w:t>In addition, the manner in which we may sell some or all of the securities covered by this prospectus includes any method permitted by law, including, without limitation, through:</w:t>
      </w:r>
    </w:p>
    <w:p>
      <w:pPr>
        <w:spacing w:after="0" w:line="63" w:lineRule="exact"/>
        <w:rPr>
          <w:sz w:val="20"/>
          <w:szCs w:val="20"/>
          <w:color w:val="auto"/>
        </w:rPr>
      </w:pPr>
    </w:p>
    <w:p>
      <w:pPr>
        <w:ind w:left="1080" w:right="419" w:hanging="335"/>
        <w:spacing w:after="0" w:line="269"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in which a broker-dealer will attempt to sell as agent, but may position or resell a portion of the block, as principal, in order to facilitate the transaction;</w:t>
      </w:r>
    </w:p>
    <w:p>
      <w:pPr>
        <w:spacing w:after="0" w:line="62"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 solicits purchasers; or</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also enter into hedging transactions. For example, we may:</w:t>
      </w:r>
    </w:p>
    <w:p>
      <w:pPr>
        <w:spacing w:after="0" w:line="109" w:lineRule="exact"/>
        <w:rPr>
          <w:rFonts w:ascii="Times New Roman" w:cs="Times New Roman" w:eastAsia="Times New Roman" w:hAnsi="Times New Roman"/>
          <w:sz w:val="18"/>
          <w:szCs w:val="18"/>
          <w:color w:val="auto"/>
        </w:rPr>
      </w:pPr>
    </w:p>
    <w:p>
      <w:pPr>
        <w:jc w:val="both"/>
        <w:ind w:left="1080" w:right="419" w:hanging="335"/>
        <w:spacing w:after="0" w:line="303" w:lineRule="auto"/>
        <w:tabs>
          <w:tab w:leader="none" w:pos="10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transactions with a broker-dealer or affiliate thereof in connection with which such broker-dealer or affiliate will engage in short sales of the ordinary shares pursuant to this prospectus, in which case such broker-dealer or affiliate may use ordinary shares received from us to close out its short positions;</w:t>
      </w:r>
    </w:p>
    <w:p>
      <w:pPr>
        <w:spacing w:after="0" w:line="40" w:lineRule="exact"/>
        <w:rPr>
          <w:rFonts w:ascii="Times New Roman" w:cs="Times New Roman" w:eastAsia="Times New Roman" w:hAnsi="Times New Roman"/>
          <w:sz w:val="16"/>
          <w:szCs w:val="16"/>
          <w:color w:val="auto"/>
        </w:rPr>
      </w:pPr>
    </w:p>
    <w:p>
      <w:pPr>
        <w:ind w:left="1080" w:hanging="335"/>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securities short and redeliver such shares to close out our short positions;</w:t>
      </w:r>
    </w:p>
    <w:p>
      <w:pPr>
        <w:spacing w:after="0" w:line="109" w:lineRule="exact"/>
        <w:rPr>
          <w:rFonts w:ascii="Times New Roman" w:cs="Times New Roman" w:eastAsia="Times New Roman" w:hAnsi="Times New Roman"/>
          <w:sz w:val="18"/>
          <w:szCs w:val="18"/>
          <w:color w:val="auto"/>
        </w:rPr>
      </w:pPr>
    </w:p>
    <w:p>
      <w:pPr>
        <w:ind w:left="1080" w:right="419" w:hanging="335"/>
        <w:spacing w:after="0" w:line="332" w:lineRule="auto"/>
        <w:tabs>
          <w:tab w:leader="none" w:pos="10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option or other types of transactions that require us to deliver ordinary shares to a broker-dealer or an affiliate thereof, who will then resell or transfer the ordinary shares under this prospectus; or</w:t>
      </w:r>
    </w:p>
    <w:p>
      <w:pPr>
        <w:spacing w:after="0" w:line="17" w:lineRule="exact"/>
        <w:rPr>
          <w:rFonts w:ascii="Times New Roman" w:cs="Times New Roman" w:eastAsia="Times New Roman" w:hAnsi="Times New Roman"/>
          <w:sz w:val="16"/>
          <w:szCs w:val="16"/>
          <w:color w:val="auto"/>
        </w:rPr>
      </w:pPr>
    </w:p>
    <w:p>
      <w:pPr>
        <w:ind w:left="1080" w:right="419" w:hanging="335"/>
        <w:spacing w:after="0" w:line="332" w:lineRule="auto"/>
        <w:tabs>
          <w:tab w:leader="none" w:pos="10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 or pledge the ordinary shares to a broker-dealer or an affiliate thereof, who may sell the loaned shares or, in an event of default in the case of a pledge, sell the pledged shares pursuant to this prospectus.</w:t>
      </w:r>
    </w:p>
    <w:p>
      <w:pPr>
        <w:spacing w:after="0" w:line="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securities covered by this prospectus may be sold:</w:t>
      </w:r>
    </w:p>
    <w:p>
      <w:pPr>
        <w:spacing w:after="0" w:line="109" w:lineRule="exact"/>
        <w:rPr>
          <w:sz w:val="20"/>
          <w:szCs w:val="20"/>
          <w:color w:val="auto"/>
        </w:rPr>
      </w:pPr>
    </w:p>
    <w:p>
      <w:pPr>
        <w:ind w:left="1080" w:hanging="335"/>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national securities exchange;</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 or</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an exchange or in the over-the-counter market, or in combination.</w:t>
      </w:r>
    </w:p>
    <w:p>
      <w:pPr>
        <w:spacing w:after="0" w:line="109" w:lineRule="exact"/>
        <w:rPr>
          <w:sz w:val="20"/>
          <w:szCs w:val="20"/>
          <w:color w:val="auto"/>
        </w:rPr>
      </w:pPr>
    </w:p>
    <w:p>
      <w:pPr>
        <w:jc w:val="both"/>
        <w:ind w:left="400" w:right="399" w:firstLine="351"/>
        <w:spacing w:after="0" w:line="283" w:lineRule="auto"/>
        <w:rPr>
          <w:sz w:val="20"/>
          <w:szCs w:val="20"/>
          <w:color w:val="auto"/>
        </w:rPr>
      </w:pPr>
      <w:r>
        <w:rPr>
          <w:rFonts w:ascii="Times New Roman" w:cs="Times New Roman" w:eastAsia="Times New Roman" w:hAnsi="Times New Roman"/>
          <w:sz w:val="16"/>
          <w:szCs w:val="16"/>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 applicable prospectus supplement or pricing supplement, as the case may be.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44" w:name="page45"/>
    <w:bookmarkEnd w:id="4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2" w:lineRule="exact"/>
        <w:rPr>
          <w:sz w:val="20"/>
          <w:szCs w:val="20"/>
          <w:color w:val="auto"/>
        </w:rPr>
      </w:pPr>
    </w:p>
    <w:p>
      <w:pPr>
        <w:ind w:left="400" w:right="419" w:firstLine="351"/>
        <w:spacing w:after="0" w:line="269" w:lineRule="auto"/>
        <w:rPr>
          <w:sz w:val="20"/>
          <w:szCs w:val="20"/>
          <w:color w:val="auto"/>
        </w:rPr>
      </w:pPr>
      <w:r>
        <w:rPr>
          <w:rFonts w:ascii="Times New Roman" w:cs="Times New Roman" w:eastAsia="Times New Roman" w:hAnsi="Times New Roman"/>
          <w:sz w:val="18"/>
          <w:szCs w:val="18"/>
          <w:color w:val="auto"/>
        </w:rPr>
        <w:t>A prospectus supplement with respect to each offering of securities will state the terms of the offering of the securities, including:</w:t>
      </w:r>
    </w:p>
    <w:p>
      <w:pPr>
        <w:spacing w:after="0" w:line="63" w:lineRule="exact"/>
        <w:rPr>
          <w:sz w:val="20"/>
          <w:szCs w:val="20"/>
          <w:color w:val="auto"/>
        </w:rPr>
      </w:pPr>
    </w:p>
    <w:p>
      <w:pPr>
        <w:ind w:left="1080" w:right="419" w:hanging="335"/>
        <w:spacing w:after="0" w:line="269"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participating underwriters, brokers, dealers or agents and the amounts of securities underwritten or purchased by each of them, if any;</w:t>
      </w:r>
    </w:p>
    <w:p>
      <w:pPr>
        <w:spacing w:after="0" w:line="62"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or purchase price of the securities and the net proceeds to be received by us from the sale;</w:t>
      </w:r>
    </w:p>
    <w:p>
      <w:pPr>
        <w:spacing w:after="0" w:line="62"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09"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or agency fees and other items constituting underwriters’, brokers’, dealers’ or agents’ compensation;</w:t>
      </w:r>
    </w:p>
    <w:p>
      <w:pPr>
        <w:spacing w:after="0" w:line="62"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markets on which the securities may be listed; and</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material terms of the offering.</w:t>
      </w:r>
    </w:p>
    <w:p>
      <w:pPr>
        <w:spacing w:after="0" w:line="109" w:lineRule="exact"/>
        <w:rPr>
          <w:sz w:val="20"/>
          <w:szCs w:val="20"/>
          <w:color w:val="auto"/>
        </w:rPr>
      </w:pPr>
    </w:p>
    <w:p>
      <w:pPr>
        <w:jc w:val="both"/>
        <w:ind w:left="400" w:right="419" w:firstLine="351"/>
        <w:spacing w:after="0" w:line="256" w:lineRule="auto"/>
        <w:rPr>
          <w:sz w:val="20"/>
          <w:szCs w:val="20"/>
          <w:color w:val="auto"/>
        </w:rPr>
      </w:pPr>
      <w:r>
        <w:rPr>
          <w:rFonts w:ascii="Times New Roman" w:cs="Times New Roman" w:eastAsia="Times New Roman" w:hAnsi="Times New Roman"/>
          <w:sz w:val="18"/>
          <w:szCs w:val="18"/>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75" w:lineRule="exact"/>
        <w:rPr>
          <w:sz w:val="20"/>
          <w:szCs w:val="20"/>
          <w:color w:val="auto"/>
        </w:rPr>
      </w:pPr>
    </w:p>
    <w:p>
      <w:pPr>
        <w:ind w:left="1080" w:hanging="335"/>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the prevailing market prices; or</w:t>
      </w:r>
    </w:p>
    <w:p>
      <w:pPr>
        <w:spacing w:after="0" w:line="109"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addition to selling its equity securities under this prospectus, a selling shareholder may:</w:t>
      </w:r>
    </w:p>
    <w:p>
      <w:pPr>
        <w:spacing w:after="0" w:line="109" w:lineRule="exact"/>
        <w:rPr>
          <w:sz w:val="20"/>
          <w:szCs w:val="20"/>
          <w:color w:val="auto"/>
        </w:rPr>
      </w:pPr>
    </w:p>
    <w:p>
      <w:pPr>
        <w:ind w:left="1080" w:right="419" w:hanging="335"/>
        <w:spacing w:after="0" w:line="269"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its equity securities in other ways not involving market maker or established trading markets, including directly by gift, distribution, or other transfer;</w:t>
      </w:r>
    </w:p>
    <w:p>
      <w:pPr>
        <w:spacing w:after="0" w:line="62"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its equity securities under Rule 144 or Rule 145 of the Securities Act rather than under this prospectus, if the transaction meets the requirements of Rule 144 or Rule 145; or</w:t>
      </w:r>
    </w:p>
    <w:p>
      <w:pPr>
        <w:spacing w:after="0" w:line="62"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its equity securities by any other legally available means.</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1" w:lineRule="exact"/>
        <w:rPr>
          <w:sz w:val="20"/>
          <w:szCs w:val="20"/>
          <w:color w:val="auto"/>
        </w:rPr>
      </w:pPr>
    </w:p>
    <w:p>
      <w:pPr>
        <w:jc w:val="both"/>
        <w:ind w:left="400" w:right="419" w:firstLine="351"/>
        <w:spacing w:after="0" w:line="248" w:lineRule="auto"/>
        <w:rPr>
          <w:sz w:val="20"/>
          <w:szCs w:val="20"/>
          <w:color w:val="auto"/>
        </w:rPr>
      </w:pPr>
      <w:r>
        <w:rPr>
          <w:rFonts w:ascii="Times New Roman" w:cs="Times New Roman" w:eastAsia="Times New Roman" w:hAnsi="Times New Roman"/>
          <w:sz w:val="18"/>
          <w:szCs w:val="18"/>
          <w:color w:val="auto"/>
        </w:rPr>
        <w:t>Any public offering price and any discounts, commissions, concessions or other items constituting compensation allowed or reallowed or paid to underwriters, dealers, agents or remarketing firms may be changed from time to time. Underwriters, dealers, agents and remarketing firms that participate in the distribution of the offered securities may be “underwriters” as defined in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Underwriters and Agents</w:t>
      </w:r>
    </w:p>
    <w:p>
      <w:pPr>
        <w:spacing w:after="0" w:line="111" w:lineRule="exact"/>
        <w:rPr>
          <w:sz w:val="20"/>
          <w:szCs w:val="20"/>
          <w:color w:val="auto"/>
        </w:rPr>
      </w:pPr>
    </w:p>
    <w:p>
      <w:pPr>
        <w:jc w:val="both"/>
        <w:ind w:left="400" w:right="399" w:firstLine="351"/>
        <w:spacing w:after="0" w:line="249" w:lineRule="auto"/>
        <w:rPr>
          <w:sz w:val="20"/>
          <w:szCs w:val="20"/>
          <w:color w:val="auto"/>
        </w:rPr>
      </w:pPr>
      <w:r>
        <w:rPr>
          <w:rFonts w:ascii="Times New Roman" w:cs="Times New Roman" w:eastAsia="Times New Roman" w:hAnsi="Times New Roman"/>
          <w:sz w:val="18"/>
          <w:szCs w:val="18"/>
          <w:color w:val="auto"/>
        </w:rPr>
        <w:t>If underwriters are used in a sale, they will acquire the offered securities for their own account.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We may offer the securities to the public through an underwriting syndicate or through a single underwriter. The underwriters in any particular offering will be mentioned in the applicable prospectus supplement.</w:t>
      </w:r>
    </w:p>
    <w:p>
      <w:pPr>
        <w:spacing w:after="0" w:line="82" w:lineRule="exact"/>
        <w:rPr>
          <w:sz w:val="20"/>
          <w:szCs w:val="20"/>
          <w:color w:val="auto"/>
        </w:rPr>
      </w:pPr>
    </w:p>
    <w:p>
      <w:pPr>
        <w:jc w:val="both"/>
        <w:ind w:left="400" w:right="399" w:firstLine="351"/>
        <w:spacing w:after="0" w:line="249" w:lineRule="auto"/>
        <w:rPr>
          <w:sz w:val="20"/>
          <w:szCs w:val="20"/>
          <w:color w:val="auto"/>
        </w:rPr>
      </w:pPr>
      <w:r>
        <w:rPr>
          <w:rFonts w:ascii="Times New Roman" w:cs="Times New Roman" w:eastAsia="Times New Roman" w:hAnsi="Times New Roman"/>
          <w:sz w:val="18"/>
          <w:szCs w:val="18"/>
          <w:color w:val="auto"/>
        </w:rPr>
        <w:t>Unless otherwise specified in connection with any particular offering of securities, the obligations of the underwriters to purchase the offered securities will be subject to certain conditions contained in an underwriting agreement that we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45" w:name="page46"/>
    <w:bookmarkEnd w:id="4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2" w:lineRule="exact"/>
        <w:rPr>
          <w:sz w:val="20"/>
          <w:szCs w:val="20"/>
          <w:color w:val="auto"/>
        </w:rPr>
      </w:pPr>
    </w:p>
    <w:p>
      <w:pPr>
        <w:jc w:val="both"/>
        <w:ind w:left="400" w:right="399" w:firstLine="351"/>
        <w:spacing w:after="0" w:line="286" w:lineRule="auto"/>
        <w:rPr>
          <w:sz w:val="20"/>
          <w:szCs w:val="20"/>
          <w:color w:val="auto"/>
        </w:rPr>
      </w:pPr>
      <w:r>
        <w:rPr>
          <w:rFonts w:ascii="Times New Roman" w:cs="Times New Roman" w:eastAsia="Times New Roman" w:hAnsi="Times New Roman"/>
          <w:sz w:val="16"/>
          <w:szCs w:val="16"/>
          <w:color w:val="auto"/>
        </w:rPr>
        <w:t>We may designate agents to sell the offered securities. Unless otherwise specified in connection with any particular offering of securities, the agents will agree to use their best efforts to solicit purchases for the period of their appointment. We may also sell the offered securities to one or more remarketing firms, acting as principals for their own accounts or as agents for us. These firms will remarket the offered securities upon purchasing them in accordance with a redemption or repayment pursuant to the terms of the offered securities. A prospectus supplement will identify any remarketing firm and will describe the terms of its agreement, if any, with us and its compensation.</w:t>
      </w:r>
    </w:p>
    <w:p>
      <w:pPr>
        <w:spacing w:after="0" w:line="55" w:lineRule="exact"/>
        <w:rPr>
          <w:sz w:val="20"/>
          <w:szCs w:val="20"/>
          <w:color w:val="auto"/>
        </w:rPr>
      </w:pPr>
    </w:p>
    <w:p>
      <w:pPr>
        <w:jc w:val="both"/>
        <w:ind w:left="400" w:right="399" w:firstLine="351"/>
        <w:spacing w:after="0" w:line="249" w:lineRule="auto"/>
        <w:rPr>
          <w:sz w:val="20"/>
          <w:szCs w:val="20"/>
          <w:color w:val="auto"/>
        </w:rPr>
      </w:pPr>
      <w:r>
        <w:rPr>
          <w:rFonts w:ascii="Times New Roman" w:cs="Times New Roman" w:eastAsia="Times New Roman" w:hAnsi="Times New Roman"/>
          <w:sz w:val="18"/>
          <w:szCs w:val="18"/>
          <w:color w:val="auto"/>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Dealers</w:t>
      </w:r>
    </w:p>
    <w:p>
      <w:pPr>
        <w:spacing w:after="0" w:line="111" w:lineRule="exact"/>
        <w:rPr>
          <w:sz w:val="20"/>
          <w:szCs w:val="20"/>
          <w:color w:val="auto"/>
        </w:rPr>
      </w:pPr>
    </w:p>
    <w:p>
      <w:pPr>
        <w:jc w:val="both"/>
        <w:ind w:left="400" w:right="399" w:firstLine="351"/>
        <w:spacing w:after="0" w:line="252" w:lineRule="auto"/>
        <w:rPr>
          <w:sz w:val="20"/>
          <w:szCs w:val="20"/>
          <w:color w:val="auto"/>
        </w:rPr>
      </w:pPr>
      <w:r>
        <w:rPr>
          <w:rFonts w:ascii="Times New Roman" w:cs="Times New Roman" w:eastAsia="Times New Roman" w:hAnsi="Times New Roman"/>
          <w:sz w:val="18"/>
          <w:szCs w:val="18"/>
          <w:color w:val="auto"/>
        </w:rPr>
        <w:t>We may sell the offered securities to dealers as principals. We may negotiate and pay dealers’ commissions, discounts or concessions for their services. The dealer may then resell such securities to the public either at varying prices to be determined by the dealer or at a fixed offering price agreed to with us at the time of resale. Dealers engaged by us may allow other dealers to participate in resales.</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Direct Sales</w:t>
      </w:r>
    </w:p>
    <w:p>
      <w:pPr>
        <w:spacing w:after="0" w:line="1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We may choose to sell the offered securities directly. In this case, no underwriters or agents would be involved.</w:t>
      </w:r>
    </w:p>
    <w:p>
      <w:pPr>
        <w:spacing w:after="0" w:line="2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Institutional Purchasers</w:t>
      </w:r>
    </w:p>
    <w:p>
      <w:pPr>
        <w:spacing w:after="0" w:line="111" w:lineRule="exact"/>
        <w:rPr>
          <w:sz w:val="20"/>
          <w:szCs w:val="20"/>
          <w:color w:val="auto"/>
        </w:rPr>
      </w:pPr>
    </w:p>
    <w:p>
      <w:pPr>
        <w:jc w:val="both"/>
        <w:ind w:left="400" w:right="399" w:firstLine="351"/>
        <w:spacing w:after="0" w:line="252" w:lineRule="auto"/>
        <w:rPr>
          <w:sz w:val="20"/>
          <w:szCs w:val="20"/>
          <w:color w:val="auto"/>
        </w:rPr>
      </w:pPr>
      <w:r>
        <w:rPr>
          <w:rFonts w:ascii="Times New Roman" w:cs="Times New Roman" w:eastAsia="Times New Roman" w:hAnsi="Times New Roman"/>
          <w:sz w:val="18"/>
          <w:szCs w:val="18"/>
          <w:color w:val="auto"/>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will provide the details of any such arrangement, including the offering price and commissions payable on the solicitations.</w:t>
      </w:r>
    </w:p>
    <w:p>
      <w:pPr>
        <w:spacing w:after="0" w:line="79" w:lineRule="exact"/>
        <w:rPr>
          <w:sz w:val="20"/>
          <w:szCs w:val="20"/>
          <w:color w:val="auto"/>
        </w:rPr>
      </w:pPr>
    </w:p>
    <w:p>
      <w:pPr>
        <w:jc w:val="both"/>
        <w:ind w:left="400" w:right="419" w:firstLine="351"/>
        <w:spacing w:after="0" w:line="256" w:lineRule="auto"/>
        <w:rPr>
          <w:sz w:val="20"/>
          <w:szCs w:val="20"/>
          <w:color w:val="auto"/>
        </w:rPr>
      </w:pPr>
      <w:r>
        <w:rPr>
          <w:rFonts w:ascii="Times New Roman" w:cs="Times New Roman" w:eastAsia="Times New Roman" w:hAnsi="Times New Roman"/>
          <w:sz w:val="18"/>
          <w:szCs w:val="18"/>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Indemnification; Other Relationships</w:t>
      </w:r>
    </w:p>
    <w:p>
      <w:pPr>
        <w:spacing w:after="0" w:line="111" w:lineRule="exact"/>
        <w:rPr>
          <w:sz w:val="20"/>
          <w:szCs w:val="20"/>
          <w:color w:val="auto"/>
        </w:rPr>
      </w:pPr>
    </w:p>
    <w:p>
      <w:pPr>
        <w:jc w:val="both"/>
        <w:ind w:left="400" w:right="419" w:firstLine="351"/>
        <w:spacing w:after="0" w:line="252" w:lineRule="auto"/>
        <w:rPr>
          <w:sz w:val="20"/>
          <w:szCs w:val="20"/>
          <w:color w:val="auto"/>
        </w:rPr>
      </w:pPr>
      <w:r>
        <w:rPr>
          <w:rFonts w:ascii="Times New Roman" w:cs="Times New Roman" w:eastAsia="Times New Roman" w:hAnsi="Times New Roman"/>
          <w:sz w:val="18"/>
          <w:szCs w:val="18"/>
          <w:color w:val="auto"/>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2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Market-Making, Stabilization and Other Transactions</w:t>
      </w:r>
    </w:p>
    <w:p>
      <w:pPr>
        <w:spacing w:after="0" w:line="111" w:lineRule="exact"/>
        <w:rPr>
          <w:sz w:val="20"/>
          <w:szCs w:val="20"/>
          <w:color w:val="auto"/>
        </w:rPr>
      </w:pPr>
    </w:p>
    <w:p>
      <w:pPr>
        <w:jc w:val="both"/>
        <w:ind w:left="400" w:right="399" w:firstLine="351"/>
        <w:spacing w:after="0" w:line="247" w:lineRule="auto"/>
        <w:rPr>
          <w:sz w:val="20"/>
          <w:szCs w:val="20"/>
          <w:color w:val="auto"/>
        </w:rPr>
      </w:pPr>
      <w:r>
        <w:rPr>
          <w:rFonts w:ascii="Times New Roman" w:cs="Times New Roman" w:eastAsia="Times New Roman" w:hAnsi="Times New Roman"/>
          <w:sz w:val="18"/>
          <w:szCs w:val="18"/>
          <w:color w:val="auto"/>
        </w:rPr>
        <w:t>There is currently no market for any of the offered securities, other than our ordinary shares, which are listed on Nasdaq.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debt securities, preferred shares or warrants on any securities exchange; any such listing with respect to any particular debt securities, preferred shares or warrants will be described in the applicable prospectus supplement.</w:t>
      </w:r>
    </w:p>
    <w:p>
      <w:pPr>
        <w:spacing w:after="0" w:line="85" w:lineRule="exact"/>
        <w:rPr>
          <w:sz w:val="20"/>
          <w:szCs w:val="20"/>
          <w:color w:val="auto"/>
        </w:rPr>
      </w:pPr>
    </w:p>
    <w:p>
      <w:pPr>
        <w:jc w:val="both"/>
        <w:ind w:left="400" w:right="399" w:firstLine="351"/>
        <w:spacing w:after="0" w:line="249" w:lineRule="auto"/>
        <w:rPr>
          <w:sz w:val="20"/>
          <w:szCs w:val="20"/>
          <w:color w:val="auto"/>
        </w:rPr>
      </w:pPr>
      <w:r>
        <w:rPr>
          <w:rFonts w:ascii="Times New Roman" w:cs="Times New Roman" w:eastAsia="Times New Roman" w:hAnsi="Times New Roman"/>
          <w:sz w:val="18"/>
          <w:szCs w:val="18"/>
          <w:color w:val="auto"/>
        </w:rPr>
        <w:t>In connection with any offering of ordinary shares, the underwriters may purchase and sell ordinary shares in the open market. These transactions may include short sales, syndicate covering transactions and stabilizing transactions. Short sales involve syndicate sales of ordinary shares in excess of the number of shares to be purchased by the underwriters in the offering, which creates a syndicate short position. “</w:t>
      </w:r>
      <w:r>
        <w:rPr>
          <w:rFonts w:ascii="Times New Roman" w:cs="Times New Roman" w:eastAsia="Times New Roman" w:hAnsi="Times New Roman"/>
          <w:sz w:val="18"/>
          <w:szCs w:val="18"/>
          <w:b w:val="1"/>
          <w:bCs w:val="1"/>
          <w:color w:val="auto"/>
        </w:rPr>
        <w:t>Covered</w:t>
      </w:r>
      <w:r>
        <w:rPr>
          <w:rFonts w:ascii="Times New Roman" w:cs="Times New Roman" w:eastAsia="Times New Roman" w:hAnsi="Times New Roman"/>
          <w:sz w:val="18"/>
          <w:szCs w:val="18"/>
          <w:color w:val="auto"/>
        </w:rPr>
        <w:t>” short sales are sales of shares made in an amount up to the number of shares represented by the underwriters’ over-allotment option. In determining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46" w:name="page47"/>
    <w:bookmarkEnd w:id="46"/>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2" w:lineRule="exact"/>
        <w:rPr>
          <w:sz w:val="20"/>
          <w:szCs w:val="20"/>
          <w:color w:val="auto"/>
        </w:rPr>
      </w:pPr>
    </w:p>
    <w:p>
      <w:pPr>
        <w:jc w:val="both"/>
        <w:ind w:left="400" w:right="399"/>
        <w:spacing w:after="0" w:line="281" w:lineRule="auto"/>
        <w:rPr>
          <w:sz w:val="20"/>
          <w:szCs w:val="20"/>
          <w:color w:val="auto"/>
        </w:rPr>
      </w:pPr>
      <w:r>
        <w:rPr>
          <w:rFonts w:ascii="Times New Roman" w:cs="Times New Roman" w:eastAsia="Times New Roman" w:hAnsi="Times New Roman"/>
          <w:sz w:val="16"/>
          <w:szCs w:val="16"/>
          <w:color w:val="auto"/>
        </w:rPr>
        <w:t>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ordinary shares in the open market after the distribution has been completed or the exercise of the over-allotment option. The underwriters may also make “naked” short sales of shares in excess of the over-allotment option. The underwriters must close out any naked short position by purchasing ordinary shares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w:t>
      </w:r>
    </w:p>
    <w:p>
      <w:pPr>
        <w:spacing w:after="0" w:line="274" w:lineRule="exact"/>
        <w:rPr>
          <w:sz w:val="20"/>
          <w:szCs w:val="20"/>
          <w:color w:val="auto"/>
        </w:rPr>
      </w:pPr>
    </w:p>
    <w:p>
      <w:pPr>
        <w:jc w:val="both"/>
        <w:ind w:left="400" w:right="399" w:firstLine="351"/>
        <w:spacing w:after="0" w:line="249" w:lineRule="auto"/>
        <w:rPr>
          <w:sz w:val="20"/>
          <w:szCs w:val="20"/>
          <w:color w:val="auto"/>
        </w:rPr>
      </w:pPr>
      <w:r>
        <w:rPr>
          <w:rFonts w:ascii="Times New Roman" w:cs="Times New Roman" w:eastAsia="Times New Roman" w:hAnsi="Times New Roman"/>
          <w:sz w:val="18"/>
          <w:szCs w:val="18"/>
          <w:color w:val="auto"/>
        </w:rPr>
        <w:t>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47" w:name="page48"/>
    <w:bookmarkEnd w:id="4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1"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certain legal matters as to U.S. and New York law will be passed upon for us by Skadden, Arps, Slate, Meagher &amp; Flom LLP, New York, New York. Certain legal matters as to Cayman Islands law will be passed upon for us by Maples and Calder (Cayman) LLP, Cayman Islands. If the validity of any securities is also passed upon by counsel for the underwriters of an offering of those securities, that counsel will be named in the prospectus supplement relating to that offering.</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11"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The consolidated financial statements of FTAI Aviation Ltd. as of December 31, 2025 and for the year then ended,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w:t>
      </w:r>
    </w:p>
    <w:p>
      <w:pPr>
        <w:spacing w:after="0" w:line="81" w:lineRule="exact"/>
        <w:rPr>
          <w:sz w:val="20"/>
          <w:szCs w:val="20"/>
          <w:color w:val="auto"/>
        </w:rPr>
      </w:pPr>
    </w:p>
    <w:p>
      <w:pPr>
        <w:jc w:val="both"/>
        <w:ind w:left="400" w:right="399" w:firstLine="351"/>
        <w:spacing w:after="0" w:line="250" w:lineRule="auto"/>
        <w:rPr>
          <w:sz w:val="20"/>
          <w:szCs w:val="20"/>
          <w:color w:val="auto"/>
        </w:rPr>
      </w:pPr>
      <w:r>
        <w:rPr>
          <w:rFonts w:ascii="Times New Roman" w:cs="Times New Roman" w:eastAsia="Times New Roman" w:hAnsi="Times New Roman"/>
          <w:sz w:val="18"/>
          <w:szCs w:val="18"/>
          <w:color w:val="auto"/>
        </w:rPr>
        <w:t>The consolidated financial statements of FTAI Aviation Ltd. at December 31, 2024 and for the years ended December 31, 2024 and December 31, 2023, included in FTAI Aviation Ltd.'s Annual Report on Form 10-K for the year ended December 31, 2025, have been audited by Ernst &amp; Young LLP, independent registered public accounting firm, as set forth in their report thereon, included therein, and incorporated herein by reference in reliance upon such report given on the authority of said firm as experts in accounting and auditing.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48" w:name="page49"/>
    <w:bookmarkEnd w:id="4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11" w:lineRule="exact"/>
        <w:rPr>
          <w:sz w:val="20"/>
          <w:szCs w:val="20"/>
          <w:color w:val="auto"/>
        </w:rPr>
      </w:pPr>
    </w:p>
    <w:p>
      <w:pPr>
        <w:ind w:left="400" w:right="419" w:firstLine="351"/>
        <w:spacing w:after="0" w:line="269" w:lineRule="auto"/>
        <w:rPr>
          <w:sz w:val="20"/>
          <w:szCs w:val="20"/>
          <w:color w:val="auto"/>
        </w:rPr>
      </w:pPr>
      <w:r>
        <w:rPr>
          <w:rFonts w:ascii="Times New Roman" w:cs="Times New Roman" w:eastAsia="Times New Roman" w:hAnsi="Times New Roman"/>
          <w:sz w:val="18"/>
          <w:szCs w:val="18"/>
          <w:color w:val="auto"/>
        </w:rPr>
        <w:t>The expenses relating to the registration of the securities will be borne by the Registrant. The following expenses, with the exception of the Securities and Exchange Commission Registration Fee, are estimates.</w:t>
      </w:r>
    </w:p>
    <w:p>
      <w:pPr>
        <w:spacing w:after="0" w:line="121" w:lineRule="exact"/>
        <w:rPr>
          <w:sz w:val="20"/>
          <w:szCs w:val="20"/>
          <w:color w:val="auto"/>
        </w:rPr>
      </w:pPr>
    </w:p>
    <w:tbl>
      <w:tblPr>
        <w:tblLayout w:type="fixed"/>
        <w:tblInd w:w="400" w:type="dxa"/>
        <w:tblCellMar>
          <w:top w:w="0" w:type="dxa"/>
          <w:left w:w="0" w:type="dxa"/>
          <w:bottom w:w="0" w:type="dxa"/>
          <w:right w:w="0" w:type="dxa"/>
        </w:tblCellMar>
      </w:tblPr>
      <w:tr>
        <w:trPr>
          <w:trHeight w:val="32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xml:space="preserve">$    </w:t>
            </w:r>
          </w:p>
        </w:tc>
        <w:tc>
          <w:tcPr>
            <w:tcW w:w="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3"/>
              </w:rPr>
              <w:t>   *</w:t>
            </w:r>
          </w:p>
        </w:tc>
      </w:tr>
      <w:tr>
        <w:trPr>
          <w:trHeight w:val="228"/>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Trustee Fees and Expenses</w:t>
            </w:r>
          </w:p>
        </w:tc>
        <w:tc>
          <w:tcPr>
            <w:tcW w:w="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r>
      <w:tr>
        <w:trPr>
          <w:trHeight w:val="24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r>
      <w:tr>
        <w:trPr>
          <w:trHeight w:val="228"/>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Fees and Expenses</w:t>
            </w:r>
          </w:p>
        </w:tc>
        <w:tc>
          <w:tcPr>
            <w:tcW w:w="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r>
      <w:tr>
        <w:trPr>
          <w:trHeight w:val="24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r>
      <w:tr>
        <w:trPr>
          <w:trHeight w:val="228"/>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Legal Fees</w:t>
            </w:r>
          </w:p>
        </w:tc>
        <w:tc>
          <w:tcPr>
            <w:tcW w:w="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r>
      <w:tr>
        <w:trPr>
          <w:trHeight w:val="23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3"/>
        </w:trPr>
        <w:tc>
          <w:tcPr>
            <w:tcW w:w="70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150495</wp:posOffset>
            </wp:positionV>
            <wp:extent cx="8032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803275" cy="8255"/>
                    </a:xfrm>
                    <a:prstGeom prst="rect">
                      <a:avLst/>
                    </a:prstGeom>
                    <a:noFill/>
                  </pic:spPr>
                </pic:pic>
              </a:graphicData>
            </a:graphic>
          </wp:anchor>
        </w:drawing>
      </w:r>
    </w:p>
    <w:p>
      <w:pPr>
        <w:spacing w:after="0" w:line="260" w:lineRule="exact"/>
        <w:rPr>
          <w:sz w:val="20"/>
          <w:szCs w:val="20"/>
          <w:color w:val="auto"/>
        </w:rPr>
      </w:pPr>
    </w:p>
    <w:p>
      <w:pPr>
        <w:ind w:left="740" w:right="419" w:hanging="346"/>
        <w:spacing w:after="0" w:line="249" w:lineRule="auto"/>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deferred pursuant to Rule 456(b) of the Securities Act, and calculated in connection with an offering of securities under this registration statement pursuant to Rule 457(r) of the Securities Act.</w:t>
      </w:r>
    </w:p>
    <w:p>
      <w:pPr>
        <w:spacing w:after="0" w:line="8" w:lineRule="exact"/>
        <w:rPr>
          <w:sz w:val="20"/>
          <w:szCs w:val="20"/>
          <w:color w:val="auto"/>
        </w:rPr>
      </w:pPr>
    </w:p>
    <w:p>
      <w:pPr>
        <w:jc w:val="both"/>
        <w:ind w:left="740" w:right="419" w:hanging="346"/>
        <w:spacing w:after="0" w:line="235" w:lineRule="auto"/>
        <w:tabs>
          <w:tab w:leader="none" w:pos="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cannot be estimated at this time, as they are calculated based on the securities offered and the number of issuances. An estimate of the aggregate expenses in connection with the sale and distribution of the securities being offered will be included in the applicable prospectus supplement.</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11" w:lineRule="exact"/>
        <w:rPr>
          <w:sz w:val="20"/>
          <w:szCs w:val="20"/>
          <w:color w:val="auto"/>
        </w:rPr>
      </w:pPr>
    </w:p>
    <w:p>
      <w:pPr>
        <w:jc w:val="both"/>
        <w:ind w:left="400" w:right="399" w:firstLine="351"/>
        <w:spacing w:after="0" w:line="280" w:lineRule="auto"/>
        <w:rPr>
          <w:sz w:val="20"/>
          <w:szCs w:val="20"/>
          <w:color w:val="auto"/>
        </w:rPr>
      </w:pPr>
      <w:r>
        <w:rPr>
          <w:rFonts w:ascii="Times New Roman" w:cs="Times New Roman" w:eastAsia="Times New Roman" w:hAnsi="Times New Roman"/>
          <w:sz w:val="16"/>
          <w:szCs w:val="16"/>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dishonesty, willful default or fraud or the consequences of committing a crime. Subject to the provisions of the Cayman Companies Act and in the absence of fraud or willful default, the Company may indemnify against all expenses, including legal fees, and against all judgments, fines and amounts paid in settlement and reasonably incurred in connection with legal, administrative or investigative proceedings any person who: (a) is or was a party or is threatened to be made a party to any threatened, pending or completed proceedings, whether civil, criminal, administrative or investigative, by reason of the fact that the person is or was a Director, managing director, agent, auditor, secretary and other officer for the time being of the Company; or (b) is or was, at the request of the Company, serving as a director, managing director, agent, auditor, secretary and other officer for the time being of, or in any other capacity is or was acting for, another company or a partnership, joint venture, trust or other enterprise</w:t>
      </w:r>
    </w:p>
    <w:p>
      <w:pPr>
        <w:spacing w:after="0" w:line="274" w:lineRule="exact"/>
        <w:rPr>
          <w:sz w:val="20"/>
          <w:szCs w:val="20"/>
          <w:color w:val="auto"/>
        </w:rPr>
      </w:pPr>
    </w:p>
    <w:p>
      <w:pPr>
        <w:jc w:val="both"/>
        <w:ind w:left="400" w:right="399" w:firstLine="351"/>
        <w:spacing w:after="0" w:line="280" w:lineRule="auto"/>
        <w:rPr>
          <w:sz w:val="20"/>
          <w:szCs w:val="20"/>
          <w:color w:val="auto"/>
        </w:rPr>
      </w:pPr>
      <w:r>
        <w:rPr>
          <w:rFonts w:ascii="Times New Roman" w:cs="Times New Roman" w:eastAsia="Times New Roman" w:hAnsi="Times New Roman"/>
          <w:sz w:val="16"/>
          <w:szCs w:val="16"/>
          <w:color w:val="auto"/>
        </w:rPr>
        <w:t>Our articles of association provide that we shall indemnify our officers and directors against all actions, proceedings, costs, charges, expenses, losses, damages or liabilities incurred or sustained by such directors or officer, whatsoever which they or any of them may incur as a result of any act or failure to act in carrying out their functions other than such liability (if any) that they may incur by reason of their own actual fraud, wilful neglect or wilful default, and provided further that such Indemnified person acted in good faith and in a manner such indemnified person reasonably believed to be in or not opposed to the best interests of the company and had no reasonable cause to believe such indemnified person's conduct was unlawful. no indemnified person shall, to the maximum extent permitted by law, be liable to the Company for any loss or damage incurred by the Company as a result (whether direct or indirect) of the carrying out of their functions unless that liability arises through the actual fraud, wilful neglect or wilful default of such indemnified person, and provided further that such indemnified person acted in good faith and in a manner such indemnified person reasonably believed to be in or not opposed to the best interests of the company and had no reasonable cause to believe such indemnified person's conduct was unlawful.</w:t>
      </w:r>
    </w:p>
    <w:p>
      <w:pPr>
        <w:spacing w:after="0" w:line="3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11" w:lineRule="exact"/>
        <w:rPr>
          <w:sz w:val="20"/>
          <w:szCs w:val="20"/>
          <w:color w:val="auto"/>
        </w:rPr>
      </w:pPr>
    </w:p>
    <w:p>
      <w:pPr>
        <w:jc w:val="both"/>
        <w:ind w:left="400" w:right="419" w:firstLine="351"/>
        <w:spacing w:after="0" w:line="269" w:lineRule="auto"/>
        <w:rPr>
          <w:sz w:val="20"/>
          <w:szCs w:val="20"/>
          <w:color w:val="auto"/>
        </w:rPr>
      </w:pPr>
      <w:r>
        <w:rPr>
          <w:rFonts w:ascii="Times New Roman" w:cs="Times New Roman" w:eastAsia="Times New Roman" w:hAnsi="Times New Roman"/>
          <w:sz w:val="18"/>
          <w:szCs w:val="18"/>
          <w:color w:val="auto"/>
        </w:rPr>
        <w:t>The Exhibits to this registration statement are listed in the Index to Exhibits on page II-</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and are incorporated herein by reference.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49" w:name="page50"/>
    <w:bookmarkEnd w:id="4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11" w:lineRule="exact"/>
        <w:rPr>
          <w:sz w:val="20"/>
          <w:szCs w:val="20"/>
          <w:color w:val="auto"/>
        </w:rPr>
      </w:pPr>
    </w:p>
    <w:p>
      <w:pPr>
        <w:ind w:left="740" w:hanging="346"/>
        <w:spacing w:after="0"/>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09"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of the securities registered hereby, a post-effective amendment to this registration statement:</w:t>
      </w:r>
    </w:p>
    <w:p>
      <w:pPr>
        <w:spacing w:after="0" w:line="62" w:lineRule="exact"/>
        <w:rPr>
          <w:rFonts w:ascii="Times New Roman" w:cs="Times New Roman" w:eastAsia="Times New Roman" w:hAnsi="Times New Roman"/>
          <w:sz w:val="18"/>
          <w:szCs w:val="18"/>
          <w:color w:val="auto"/>
        </w:rPr>
      </w:pPr>
    </w:p>
    <w:p>
      <w:pPr>
        <w:ind w:left="1440" w:hanging="344"/>
        <w:spacing w:after="0"/>
        <w:tabs>
          <w:tab w:leader="none" w:pos="144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09" w:lineRule="exact"/>
        <w:rPr>
          <w:rFonts w:ascii="Times New Roman" w:cs="Times New Roman" w:eastAsia="Times New Roman" w:hAnsi="Times New Roman"/>
          <w:sz w:val="18"/>
          <w:szCs w:val="18"/>
          <w:color w:val="auto"/>
        </w:rPr>
      </w:pPr>
    </w:p>
    <w:p>
      <w:pPr>
        <w:jc w:val="both"/>
        <w:ind w:left="1440" w:right="419" w:hanging="344"/>
        <w:spacing w:after="0" w:line="247" w:lineRule="auto"/>
        <w:tabs>
          <w:tab w:leader="none" w:pos="144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2" w:lineRule="exact"/>
        <w:rPr>
          <w:rFonts w:ascii="Times New Roman" w:cs="Times New Roman" w:eastAsia="Times New Roman" w:hAnsi="Times New Roman"/>
          <w:sz w:val="18"/>
          <w:szCs w:val="18"/>
          <w:color w:val="auto"/>
        </w:rPr>
      </w:pPr>
    </w:p>
    <w:p>
      <w:pPr>
        <w:ind w:left="1440" w:right="419" w:hanging="344"/>
        <w:spacing w:after="0" w:line="332" w:lineRule="auto"/>
        <w:tabs>
          <w:tab w:leader="none" w:pos="1440" w:val="left"/>
        </w:tabs>
        <w:numPr>
          <w:ilvl w:val="2"/>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 w:lineRule="exact"/>
        <w:rPr>
          <w:sz w:val="20"/>
          <w:szCs w:val="20"/>
          <w:color w:val="auto"/>
        </w:rPr>
      </w:pPr>
    </w:p>
    <w:p>
      <w:pPr>
        <w:jc w:val="both"/>
        <w:ind w:left="1100" w:right="399" w:firstLine="351"/>
        <w:spacing w:after="0" w:line="289" w:lineRule="auto"/>
        <w:rPr>
          <w:sz w:val="20"/>
          <w:szCs w:val="20"/>
          <w:color w:val="auto"/>
        </w:rPr>
      </w:pPr>
      <w:r>
        <w:rPr>
          <w:rFonts w:ascii="Times New Roman" w:cs="Times New Roman" w:eastAsia="Times New Roman" w:hAnsi="Times New Roman"/>
          <w:sz w:val="16"/>
          <w:szCs w:val="16"/>
          <w:color w:val="auto"/>
        </w:rPr>
        <w:t>provided, however,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52" w:lineRule="exact"/>
        <w:rPr>
          <w:sz w:val="20"/>
          <w:szCs w:val="20"/>
          <w:color w:val="auto"/>
        </w:rPr>
      </w:pPr>
    </w:p>
    <w:p>
      <w:pPr>
        <w:jc w:val="both"/>
        <w:ind w:left="1080" w:right="419" w:hanging="335"/>
        <w:spacing w:after="0" w:line="25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9" w:lineRule="exact"/>
        <w:rPr>
          <w:rFonts w:ascii="Times New Roman" w:cs="Times New Roman" w:eastAsia="Times New Roman" w:hAnsi="Times New Roman"/>
          <w:sz w:val="18"/>
          <w:szCs w:val="18"/>
          <w:color w:val="auto"/>
        </w:rPr>
      </w:pPr>
    </w:p>
    <w:p>
      <w:pPr>
        <w:ind w:left="1080" w:right="419" w:hanging="335"/>
        <w:spacing w:after="0" w:line="269"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Times New Roman" w:cs="Times New Roman" w:eastAsia="Times New Roman" w:hAnsi="Times New Roman"/>
          <w:sz w:val="18"/>
          <w:szCs w:val="18"/>
          <w:color w:val="auto"/>
        </w:rPr>
      </w:pPr>
    </w:p>
    <w:p>
      <w:pPr>
        <w:ind w:left="1080" w:hanging="335"/>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09" w:lineRule="exact"/>
        <w:rPr>
          <w:rFonts w:ascii="Times New Roman" w:cs="Times New Roman" w:eastAsia="Times New Roman" w:hAnsi="Times New Roman"/>
          <w:sz w:val="18"/>
          <w:szCs w:val="18"/>
          <w:color w:val="auto"/>
        </w:rPr>
      </w:pPr>
    </w:p>
    <w:p>
      <w:pPr>
        <w:jc w:val="both"/>
        <w:ind w:left="1440" w:right="419" w:hanging="344"/>
        <w:spacing w:after="0" w:line="256" w:lineRule="auto"/>
        <w:tabs>
          <w:tab w:leader="none" w:pos="14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75" w:lineRule="exact"/>
        <w:rPr>
          <w:rFonts w:ascii="Times New Roman" w:cs="Times New Roman" w:eastAsia="Times New Roman" w:hAnsi="Times New Roman"/>
          <w:sz w:val="18"/>
          <w:szCs w:val="18"/>
          <w:color w:val="auto"/>
        </w:rPr>
      </w:pPr>
    </w:p>
    <w:p>
      <w:pPr>
        <w:jc w:val="both"/>
        <w:ind w:left="1440" w:right="419" w:hanging="344"/>
        <w:spacing w:after="0" w:line="286" w:lineRule="auto"/>
        <w:tabs>
          <w:tab w:leader="none" w:pos="144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prospectus required to be filed pursuant to Rule 424(b)(2), (b)(5) or (b)(7) as part of a registration statement in reliance on Rule 430B relating to an offering made pursuant to Rule 415(a)</w:t>
      </w:r>
    </w:p>
    <w:p>
      <w:pPr>
        <w:jc w:val="both"/>
        <w:ind w:left="1440" w:right="419"/>
        <w:spacing w:after="0" w:line="24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50" w:name="page51"/>
    <w:bookmarkEnd w:id="5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2" w:lineRule="exact"/>
        <w:rPr>
          <w:sz w:val="20"/>
          <w:szCs w:val="20"/>
          <w:color w:val="auto"/>
        </w:rPr>
      </w:pPr>
    </w:p>
    <w:p>
      <w:pPr>
        <w:jc w:val="both"/>
        <w:ind w:left="1080" w:right="419" w:hanging="335"/>
        <w:spacing w:after="0" w:line="248" w:lineRule="auto"/>
        <w:tabs>
          <w:tab w:leader="none" w:pos="10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3" w:lineRule="exact"/>
        <w:rPr>
          <w:rFonts w:ascii="Times New Roman" w:cs="Times New Roman" w:eastAsia="Times New Roman" w:hAnsi="Times New Roman"/>
          <w:sz w:val="18"/>
          <w:szCs w:val="18"/>
          <w:color w:val="auto"/>
        </w:rPr>
      </w:pPr>
    </w:p>
    <w:p>
      <w:pPr>
        <w:ind w:left="1440" w:right="419" w:hanging="344"/>
        <w:spacing w:after="0" w:line="269" w:lineRule="auto"/>
        <w:tabs>
          <w:tab w:leader="none" w:pos="144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2" w:lineRule="exact"/>
        <w:rPr>
          <w:rFonts w:ascii="Times New Roman" w:cs="Times New Roman" w:eastAsia="Times New Roman" w:hAnsi="Times New Roman"/>
          <w:sz w:val="18"/>
          <w:szCs w:val="18"/>
          <w:color w:val="auto"/>
        </w:rPr>
      </w:pPr>
    </w:p>
    <w:p>
      <w:pPr>
        <w:ind w:left="1440" w:right="419" w:hanging="344"/>
        <w:spacing w:after="0" w:line="269" w:lineRule="auto"/>
        <w:tabs>
          <w:tab w:leader="none" w:pos="144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Times New Roman" w:cs="Times New Roman" w:eastAsia="Times New Roman" w:hAnsi="Times New Roman"/>
          <w:sz w:val="18"/>
          <w:szCs w:val="18"/>
          <w:color w:val="auto"/>
        </w:rPr>
      </w:pPr>
    </w:p>
    <w:p>
      <w:pPr>
        <w:jc w:val="both"/>
        <w:ind w:left="1440" w:right="419" w:hanging="344"/>
        <w:spacing w:after="0" w:line="256" w:lineRule="auto"/>
        <w:tabs>
          <w:tab w:leader="none" w:pos="144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Times New Roman" w:cs="Times New Roman" w:eastAsia="Times New Roman" w:hAnsi="Times New Roman"/>
          <w:sz w:val="18"/>
          <w:szCs w:val="18"/>
          <w:color w:val="auto"/>
        </w:rPr>
      </w:pPr>
    </w:p>
    <w:p>
      <w:pPr>
        <w:ind w:left="1440" w:right="419" w:hanging="344"/>
        <w:spacing w:after="0" w:line="269" w:lineRule="auto"/>
        <w:tabs>
          <w:tab w:leader="none" w:pos="144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62" w:lineRule="exact"/>
        <w:rPr>
          <w:rFonts w:ascii="Times New Roman" w:cs="Times New Roman" w:eastAsia="Times New Roman" w:hAnsi="Times New Roman"/>
          <w:sz w:val="18"/>
          <w:szCs w:val="18"/>
          <w:color w:val="auto"/>
        </w:rPr>
      </w:pPr>
    </w:p>
    <w:p>
      <w:pPr>
        <w:jc w:val="both"/>
        <w:ind w:left="740" w:right="399" w:hanging="346"/>
        <w:spacing w:after="0" w:line="248" w:lineRule="auto"/>
        <w:tabs>
          <w:tab w:leader="none" w:pos="7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3" w:lineRule="exact"/>
        <w:rPr>
          <w:rFonts w:ascii="Times New Roman" w:cs="Times New Roman" w:eastAsia="Times New Roman" w:hAnsi="Times New Roman"/>
          <w:sz w:val="18"/>
          <w:szCs w:val="18"/>
          <w:color w:val="auto"/>
        </w:rPr>
      </w:pPr>
    </w:p>
    <w:p>
      <w:pPr>
        <w:jc w:val="both"/>
        <w:ind w:left="740" w:right="399" w:hanging="346"/>
        <w:spacing w:after="0" w:line="246" w:lineRule="auto"/>
        <w:tabs>
          <w:tab w:leader="none" w:pos="7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provisions described under Item 15 above,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a registrant of expenses incurred or paid by a director, officer or controlling person of a registrant in the successful defense of any action, suit or proceeding) is asserted by such director, officer or controlling person in connection with the securities being registered, that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82625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51" w:name="page52"/>
    <w:bookmarkEnd w:id="5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8"/>
        </w:trPr>
        <w:tc>
          <w:tcPr>
            <w:tcW w:w="2020" w:type="dxa"/>
            <w:vAlign w:val="bottom"/>
          </w:tcPr>
          <w:p>
            <w:pPr>
              <w:jc w:val="center"/>
              <w:ind w:right="133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85"/>
        </w:trPr>
        <w:tc>
          <w:tcPr>
            <w:tcW w:w="2020" w:type="dxa"/>
            <w:vAlign w:val="bottom"/>
          </w:tcPr>
          <w:p>
            <w:pPr>
              <w:jc w:val="center"/>
              <w:ind w:right="1330"/>
              <w:spacing w:after="0"/>
              <w:rPr>
                <w:sz w:val="20"/>
                <w:szCs w:val="20"/>
                <w:color w:val="auto"/>
              </w:rPr>
            </w:pPr>
            <w:r>
              <w:rPr>
                <w:rFonts w:ascii="Times New Roman" w:cs="Times New Roman" w:eastAsia="Times New Roman" w:hAnsi="Times New Roman"/>
                <w:sz w:val="14"/>
                <w:szCs w:val="14"/>
                <w:b w:val="1"/>
                <w:bCs w:val="1"/>
                <w:color w:val="auto"/>
              </w:rPr>
              <w:t>NO.</w:t>
            </w:r>
          </w:p>
        </w:tc>
        <w:tc>
          <w:tcPr>
            <w:tcW w:w="2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15240</wp:posOffset>
            </wp:positionV>
            <wp:extent cx="5219700" cy="167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5219700" cy="167005"/>
                    </a:xfrm>
                    <a:prstGeom prst="rect">
                      <a:avLst/>
                    </a:prstGeom>
                    <a:noFill/>
                  </pic:spPr>
                </pic:pic>
              </a:graphicData>
            </a:graphic>
          </wp:anchor>
        </w:drawing>
      </w:r>
    </w:p>
    <w:p>
      <w:pPr>
        <w:spacing w:after="0" w:line="25"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color w:val="auto"/>
        </w:rPr>
        <w:t>Form of Underwriting Agreement for ordinary shares, preferred shares, warrants or debt securities.</w:t>
      </w:r>
    </w:p>
    <w:p>
      <w:pPr>
        <w:spacing w:after="0" w:line="30" w:lineRule="exact"/>
        <w:rPr>
          <w:sz w:val="20"/>
          <w:szCs w:val="20"/>
          <w:color w:val="auto"/>
        </w:rPr>
      </w:pPr>
    </w:p>
    <w:p>
      <w:pPr>
        <w:ind w:left="1140" w:right="459" w:hanging="737"/>
        <w:spacing w:after="0" w:line="254" w:lineRule="auto"/>
        <w:tabs>
          <w:tab w:leader="none" w:pos="1120" w:val="left"/>
        </w:tabs>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u w:val="single" w:color="auto"/>
            <w:color w:val="0000EE"/>
          </w:rPr>
          <w:t>3.1</w:t>
        </w:r>
      </w:hyperlink>
      <w:r>
        <w:rPr>
          <w:rFonts w:ascii="Times New Roman" w:cs="Times New Roman" w:eastAsia="Times New Roman" w:hAnsi="Times New Roman"/>
          <w:sz w:val="18"/>
          <w:szCs w:val="18"/>
          <w:color w:val="0000EE"/>
        </w:rPr>
        <w:tab/>
        <w:t>Amended and Restated Memorandum and Articles of Association of FTAI Aviation Ltd. (incorporated by reference to Exhibit 3.1 of the Company’s Form 8-K as filed with the Commission on November 14, 2022).</w:t>
      </w:r>
    </w:p>
    <w:p>
      <w:pPr>
        <w:spacing w:after="0" w:line="2" w:lineRule="exact"/>
        <w:rPr>
          <w:sz w:val="20"/>
          <w:szCs w:val="20"/>
          <w:color w:val="auto"/>
        </w:rPr>
      </w:pPr>
    </w:p>
    <w:p>
      <w:pPr>
        <w:ind w:left="1140" w:right="859" w:hanging="737"/>
        <w:spacing w:after="0" w:line="254" w:lineRule="auto"/>
        <w:tabs>
          <w:tab w:leader="none" w:pos="1120" w:val="left"/>
        </w:tabs>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u w:val="single" w:color="auto"/>
            <w:color w:val="0000EE"/>
          </w:rPr>
          <w:t>3.2</w:t>
        </w:r>
      </w:hyperlink>
      <w:r>
        <w:rPr>
          <w:rFonts w:ascii="Times New Roman" w:cs="Times New Roman" w:eastAsia="Times New Roman" w:hAnsi="Times New Roman"/>
          <w:sz w:val="18"/>
          <w:szCs w:val="18"/>
          <w:color w:val="0000EE"/>
        </w:rPr>
        <w:tab/>
        <w:t>Share Designation with respect to the 8.25% Fixed-Rate Reset Series C Cumulative Perpetual Redeemable Preferred Shares of FTAI Aviation Ltd. (incorporated by reference to Exhibit 3.4 of the Company’s Form 8-K as filed with the Commission on November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-413385</wp:posOffset>
            </wp:positionV>
            <wp:extent cx="5219700" cy="418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5219700" cy="418465"/>
                    </a:xfrm>
                    <a:prstGeom prst="rect">
                      <a:avLst/>
                    </a:prstGeom>
                    <a:noFill/>
                  </pic:spPr>
                </pic:pic>
              </a:graphicData>
            </a:graphic>
          </wp:anchor>
        </w:drawing>
      </w:r>
    </w:p>
    <w:p>
      <w:pPr>
        <w:ind w:left="1140" w:right="859" w:hanging="737"/>
        <w:spacing w:after="0" w:line="254" w:lineRule="auto"/>
        <w:tabs>
          <w:tab w:leader="none" w:pos="1120" w:val="left"/>
        </w:tabs>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u w:val="single" w:color="auto"/>
            <w:color w:val="0000EE"/>
          </w:rPr>
          <w:t>3.3</w:t>
        </w:r>
      </w:hyperlink>
      <w:r>
        <w:rPr>
          <w:rFonts w:ascii="Times New Roman" w:cs="Times New Roman" w:eastAsia="Times New Roman" w:hAnsi="Times New Roman"/>
          <w:sz w:val="18"/>
          <w:szCs w:val="18"/>
          <w:color w:val="0000EE"/>
        </w:rPr>
        <w:tab/>
        <w:t>Share Designation with respect to the 9.500% Fixed-Rate Reset Series D Cumulative Perpetual Redeemable Preferred Shares of FTAI Aviation Ltd. (incorporated by reference to Exhibit 4.1 of the Company’s Registration Statement on Form 8-A, filed on March 15, 2023).</w:t>
      </w:r>
    </w:p>
    <w:p>
      <w:pPr>
        <w:spacing w:after="0" w:line="2" w:lineRule="exact"/>
        <w:rPr>
          <w:sz w:val="20"/>
          <w:szCs w:val="20"/>
          <w:color w:val="auto"/>
        </w:rPr>
      </w:pPr>
    </w:p>
    <w:p>
      <w:pPr>
        <w:ind w:left="1140" w:right="499" w:hanging="737"/>
        <w:spacing w:after="0" w:line="254" w:lineRule="auto"/>
        <w:tabs>
          <w:tab w:leader="none" w:pos="1120" w:val="left"/>
        </w:tabs>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u w:val="single" w:color="auto"/>
            <w:color w:val="0000EE"/>
          </w:rPr>
          <w:t>3.4</w:t>
        </w:r>
      </w:hyperlink>
      <w:r>
        <w:rPr>
          <w:rFonts w:ascii="Times New Roman" w:cs="Times New Roman" w:eastAsia="Times New Roman" w:hAnsi="Times New Roman"/>
          <w:sz w:val="18"/>
          <w:szCs w:val="18"/>
          <w:color w:val="0000EE"/>
        </w:rPr>
        <w:tab/>
        <w:t>Form of Certificate representing the 8.25% Fixed-Rate Reset Series C Cumulative Perpetual Redeemable Preferred Shares of FTAI Aviation Ltd. (incorporated by reference to Exhibit 3.7 of the Company’s Form 8-K as filed with the Commission on November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-413385</wp:posOffset>
            </wp:positionV>
            <wp:extent cx="5219700" cy="418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5219700" cy="418465"/>
                    </a:xfrm>
                    <a:prstGeom prst="rect">
                      <a:avLst/>
                    </a:prstGeom>
                    <a:noFill/>
                  </pic:spPr>
                </pic:pic>
              </a:graphicData>
            </a:graphic>
          </wp:anchor>
        </w:drawing>
      </w:r>
    </w:p>
    <w:p>
      <w:pPr>
        <w:ind w:left="1140" w:right="859" w:hanging="737"/>
        <w:spacing w:after="0" w:line="254" w:lineRule="auto"/>
        <w:tabs>
          <w:tab w:leader="none" w:pos="1120" w:val="left"/>
        </w:tabs>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u w:val="single" w:color="auto"/>
            <w:color w:val="0000EE"/>
          </w:rPr>
          <w:t>3.5</w:t>
        </w:r>
      </w:hyperlink>
      <w:r>
        <w:rPr>
          <w:rFonts w:ascii="Times New Roman" w:cs="Times New Roman" w:eastAsia="Times New Roman" w:hAnsi="Times New Roman"/>
          <w:sz w:val="18"/>
          <w:szCs w:val="18"/>
          <w:color w:val="0000EE"/>
        </w:rPr>
        <w:tab/>
        <w:t>Form of Certificate representing the 9.500% Fixed-Rate Reset Series D Cumulative Perpetual Redeemable Preferred Shares of FTAI Aviation Ltd. (incorporated by reference to Exhibit 4.2 of the Company’s Registration Statement on Form 8-A, filed on March 15, 2023).</w:t>
      </w:r>
    </w:p>
    <w:p>
      <w:pPr>
        <w:spacing w:after="0" w:line="2" w:lineRule="exact"/>
        <w:rPr>
          <w:sz w:val="20"/>
          <w:szCs w:val="20"/>
          <w:color w:val="auto"/>
        </w:rPr>
      </w:pPr>
    </w:p>
    <w:p>
      <w:pPr>
        <w:jc w:val="both"/>
        <w:ind w:left="1140" w:right="979" w:hanging="737"/>
        <w:spacing w:after="0" w:line="254" w:lineRule="auto"/>
        <w:tabs>
          <w:tab w:leader="none" w:pos="1120" w:val="left"/>
        </w:tabs>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color w:val="0000EE"/>
        </w:rPr>
        <w:tab/>
        <w:t>Form of Debt Securities Indenture (including form of Debt Security) (incorporated by reference to Exhibit 4.1 of the Company’s Registration Statement on Form S-3, filed with the Commission on February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-413385</wp:posOffset>
            </wp:positionV>
            <wp:extent cx="5219700" cy="418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5219700" cy="418465"/>
                    </a:xfrm>
                    <a:prstGeom prst="rect">
                      <a:avLst/>
                    </a:prstGeom>
                    <a:noFill/>
                  </pic:spPr>
                </pic:pic>
              </a:graphicData>
            </a:graphic>
          </wp:anchor>
        </w:drawing>
      </w:r>
    </w:p>
    <w:p>
      <w:pPr>
        <w:ind w:left="400"/>
        <w:spacing w:after="0"/>
        <w:tabs>
          <w:tab w:leader="none" w:pos="11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6"/>
          <w:szCs w:val="16"/>
          <w:color w:val="auto"/>
        </w:rPr>
        <w:t>Form of Debt Warrant Agreement.</w:t>
      </w:r>
    </w:p>
    <w:p>
      <w:pPr>
        <w:spacing w:after="0" w:line="30"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6"/>
          <w:szCs w:val="16"/>
          <w:color w:val="auto"/>
        </w:rPr>
        <w:t>Form of Debt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-127635</wp:posOffset>
            </wp:positionV>
            <wp:extent cx="5219700" cy="150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5219700" cy="150495"/>
                    </a:xfrm>
                    <a:prstGeom prst="rect">
                      <a:avLst/>
                    </a:prstGeom>
                    <a:noFill/>
                  </pic:spPr>
                </pic:pic>
              </a:graphicData>
            </a:graphic>
          </wp:anchor>
        </w:drawing>
      </w:r>
    </w:p>
    <w:p>
      <w:pPr>
        <w:spacing w:after="0" w:line="10"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6"/>
          <w:szCs w:val="16"/>
          <w:color w:val="auto"/>
        </w:rPr>
        <w:t>Form of Stock Warrant Agreement.</w:t>
      </w:r>
    </w:p>
    <w:p>
      <w:pPr>
        <w:spacing w:after="0" w:line="30"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6"/>
          <w:szCs w:val="16"/>
          <w:color w:val="auto"/>
        </w:rPr>
        <w:t>Form of Stock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-127635</wp:posOffset>
            </wp:positionV>
            <wp:extent cx="5219700" cy="150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5219700" cy="150495"/>
                    </a:xfrm>
                    <a:prstGeom prst="rect">
                      <a:avLst/>
                    </a:prstGeom>
                    <a:noFill/>
                  </pic:spPr>
                </pic:pic>
              </a:graphicData>
            </a:graphic>
          </wp:anchor>
        </w:drawing>
      </w:r>
    </w:p>
    <w:p>
      <w:pPr>
        <w:spacing w:after="0" w:line="10"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6"/>
          <w:szCs w:val="16"/>
          <w:color w:val="auto"/>
        </w:rPr>
        <w:t>Form of Deposit Agreement.</w:t>
      </w:r>
    </w:p>
    <w:p>
      <w:pPr>
        <w:spacing w:after="0" w:line="30"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6"/>
          <w:szCs w:val="16"/>
          <w:color w:val="auto"/>
        </w:rPr>
        <w:t>Form of Depositary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-127635</wp:posOffset>
            </wp:positionV>
            <wp:extent cx="5219700" cy="150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5219700" cy="150495"/>
                    </a:xfrm>
                    <a:prstGeom prst="rect">
                      <a:avLst/>
                    </a:prstGeom>
                    <a:noFill/>
                  </pic:spPr>
                </pic:pic>
              </a:graphicData>
            </a:graphic>
          </wp:anchor>
        </w:drawing>
      </w:r>
    </w:p>
    <w:p>
      <w:pPr>
        <w:spacing w:after="0" w:line="10"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6"/>
          <w:szCs w:val="16"/>
          <w:color w:val="auto"/>
        </w:rPr>
        <w:t>Form of Purchase Contract.</w:t>
      </w:r>
    </w:p>
    <w:p>
      <w:pPr>
        <w:spacing w:after="0" w:line="30"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6"/>
          <w:szCs w:val="16"/>
          <w:color w:val="auto"/>
        </w:rPr>
        <w:t>Form of Purchase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-127635</wp:posOffset>
            </wp:positionV>
            <wp:extent cx="5219700" cy="1504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5219700" cy="150495"/>
                    </a:xfrm>
                    <a:prstGeom prst="rect">
                      <a:avLst/>
                    </a:prstGeom>
                    <a:noFill/>
                  </pic:spPr>
                </pic:pic>
              </a:graphicData>
            </a:graphic>
          </wp:anchor>
        </w:drawing>
      </w:r>
    </w:p>
    <w:p>
      <w:pPr>
        <w:spacing w:after="0" w:line="10"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6"/>
          <w:szCs w:val="16"/>
          <w:color w:val="auto"/>
        </w:rPr>
        <w:t>Opinion of Maples and Calder (Cayman) LLP.</w:t>
      </w:r>
    </w:p>
    <w:p>
      <w:pPr>
        <w:spacing w:after="0" w:line="30"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5.2</w:t>
      </w:r>
      <w:r>
        <w:rPr>
          <w:sz w:val="20"/>
          <w:szCs w:val="20"/>
          <w:color w:val="auto"/>
        </w:rPr>
        <w:tab/>
      </w:r>
      <w:r>
        <w:rPr>
          <w:rFonts w:ascii="Times New Roman" w:cs="Times New Roman" w:eastAsia="Times New Roman" w:hAnsi="Times New Roman"/>
          <w:sz w:val="16"/>
          <w:szCs w:val="16"/>
          <w:color w:val="auto"/>
        </w:rPr>
        <w:t>Opinion of 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-127635</wp:posOffset>
            </wp:positionV>
            <wp:extent cx="5219700" cy="150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5219700" cy="150495"/>
                    </a:xfrm>
                    <a:prstGeom prst="rect">
                      <a:avLst/>
                    </a:prstGeom>
                    <a:noFill/>
                  </pic:spPr>
                </pic:pic>
              </a:graphicData>
            </a:graphic>
          </wp:anchor>
        </w:drawing>
      </w:r>
    </w:p>
    <w:p>
      <w:pPr>
        <w:spacing w:after="0" w:line="10"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6"/>
          <w:szCs w:val="16"/>
          <w:color w:val="auto"/>
        </w:rPr>
        <w:t>Consent of KPMG LLP, Independent Registered Public Accounting Firm.</w:t>
      </w:r>
    </w:p>
    <w:p>
      <w:pPr>
        <w:spacing w:after="0" w:line="30"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23.2</w:t>
      </w:r>
      <w:r>
        <w:rPr>
          <w:sz w:val="20"/>
          <w:szCs w:val="20"/>
          <w:color w:val="auto"/>
        </w:rPr>
        <w:tab/>
      </w:r>
      <w:r>
        <w:rPr>
          <w:rFonts w:ascii="Times New Roman" w:cs="Times New Roman" w:eastAsia="Times New Roman" w:hAnsi="Times New Roman"/>
          <w:sz w:val="16"/>
          <w:szCs w:val="16"/>
          <w:color w:val="auto"/>
        </w:rPr>
        <w:t>Consent of Ernst &amp; Young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-127635</wp:posOffset>
            </wp:positionV>
            <wp:extent cx="5219700" cy="150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5219700" cy="150495"/>
                    </a:xfrm>
                    <a:prstGeom prst="rect">
                      <a:avLst/>
                    </a:prstGeom>
                    <a:noFill/>
                  </pic:spPr>
                </pic:pic>
              </a:graphicData>
            </a:graphic>
          </wp:anchor>
        </w:drawing>
      </w:r>
    </w:p>
    <w:p>
      <w:pPr>
        <w:spacing w:after="0" w:line="10"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23.3</w:t>
      </w:r>
      <w:r>
        <w:rPr>
          <w:sz w:val="20"/>
          <w:szCs w:val="20"/>
          <w:color w:val="auto"/>
        </w:rPr>
        <w:tab/>
      </w:r>
      <w:r>
        <w:rPr>
          <w:rFonts w:ascii="Times New Roman" w:cs="Times New Roman" w:eastAsia="Times New Roman" w:hAnsi="Times New Roman"/>
          <w:sz w:val="16"/>
          <w:szCs w:val="16"/>
          <w:color w:val="auto"/>
        </w:rPr>
        <w:t>Consent of Maples and Calder (Cayman) LLP (included in Exhibit 5.1).</w:t>
      </w:r>
    </w:p>
    <w:p>
      <w:pPr>
        <w:spacing w:after="0" w:line="30"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23.4</w:t>
      </w:r>
      <w:r>
        <w:rPr>
          <w:sz w:val="20"/>
          <w:szCs w:val="20"/>
          <w:color w:val="auto"/>
        </w:rPr>
        <w:tab/>
      </w:r>
      <w:r>
        <w:rPr>
          <w:rFonts w:ascii="Times New Roman" w:cs="Times New Roman" w:eastAsia="Times New Roman" w:hAnsi="Times New Roman"/>
          <w:sz w:val="16"/>
          <w:szCs w:val="16"/>
          <w:color w:val="auto"/>
        </w:rPr>
        <w:t>Consent of Skadden, Arps, Slate, Meagher &amp; Flom LLP (included in 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-127635</wp:posOffset>
            </wp:positionV>
            <wp:extent cx="5219700" cy="150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5219700" cy="150495"/>
                    </a:xfrm>
                    <a:prstGeom prst="rect">
                      <a:avLst/>
                    </a:prstGeom>
                    <a:noFill/>
                  </pic:spPr>
                </pic:pic>
              </a:graphicData>
            </a:graphic>
          </wp:anchor>
        </w:drawing>
      </w:r>
    </w:p>
    <w:p>
      <w:pPr>
        <w:spacing w:after="0" w:line="10"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24.1</w:t>
      </w:r>
      <w:r>
        <w:rPr>
          <w:sz w:val="20"/>
          <w:szCs w:val="20"/>
          <w:color w:val="auto"/>
        </w:rPr>
        <w:tab/>
      </w:r>
      <w:r>
        <w:rPr>
          <w:rFonts w:ascii="Times New Roman" w:cs="Times New Roman" w:eastAsia="Times New Roman" w:hAnsi="Times New Roman"/>
          <w:sz w:val="16"/>
          <w:szCs w:val="16"/>
          <w:color w:val="auto"/>
        </w:rPr>
        <w:t>Powers of Attorney (included on the signature pages hereto).</w:t>
      </w:r>
    </w:p>
    <w:p>
      <w:pPr>
        <w:spacing w:after="0" w:line="30" w:lineRule="exact"/>
        <w:rPr>
          <w:sz w:val="20"/>
          <w:szCs w:val="20"/>
          <w:color w:val="auto"/>
        </w:rPr>
      </w:pPr>
    </w:p>
    <w:p>
      <w:pPr>
        <w:ind w:left="1140" w:right="679" w:hanging="737"/>
        <w:spacing w:after="0" w:line="259" w:lineRule="auto"/>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25.1</w:t>
      </w:r>
      <w:r>
        <w:rPr>
          <w:sz w:val="20"/>
          <w:szCs w:val="20"/>
          <w:color w:val="auto"/>
        </w:rPr>
        <w:tab/>
      </w:r>
      <w:r>
        <w:rPr>
          <w:rFonts w:ascii="Times New Roman" w:cs="Times New Roman" w:eastAsia="Times New Roman" w:hAnsi="Times New Roman"/>
          <w:sz w:val="18"/>
          <w:szCs w:val="18"/>
          <w:color w:val="auto"/>
        </w:rPr>
        <w:t>Statement of Eligibility on Form T-1 of the Trustee under the Indenture pursuant to the Trust Indenture Act of 1939,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-280035</wp:posOffset>
            </wp:positionV>
            <wp:extent cx="5219700" cy="284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5219700" cy="284480"/>
                    </a:xfrm>
                    <a:prstGeom prst="rect">
                      <a:avLst/>
                    </a:prstGeom>
                    <a:noFill/>
                  </pic:spPr>
                </pic:pic>
              </a:graphicData>
            </a:graphic>
          </wp:anchor>
        </w:drawing>
      </w:r>
    </w:p>
    <w:p>
      <w:pPr>
        <w:ind w:left="1140" w:hanging="746"/>
        <w:spacing w:after="0"/>
        <w:tabs>
          <w:tab w:leader="none" w:pos="1140" w:val="left"/>
        </w:tabs>
        <w:numPr>
          <w:ilvl w:val="0"/>
          <w:numId w:val="4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198120</wp:posOffset>
            </wp:positionV>
            <wp:extent cx="8032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803275" cy="8255"/>
                    </a:xfrm>
                    <a:prstGeom prst="rect">
                      <a:avLst/>
                    </a:prstGeom>
                    <a:noFill/>
                  </pic:spPr>
                </pic:pic>
              </a:graphicData>
            </a:graphic>
          </wp:anchor>
        </w:drawing>
      </w:r>
    </w:p>
    <w:p>
      <w:pPr>
        <w:spacing w:after="0" w:line="3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 xml:space="preserve">*  To </w:t>
      </w:r>
      <w:r>
        <w:rPr>
          <w:rFonts w:ascii="Times New Roman" w:cs="Times New Roman" w:eastAsia="Times New Roman" w:hAnsi="Times New Roman"/>
          <w:sz w:val="14"/>
          <w:szCs w:val="14"/>
          <w:i w:val="1"/>
          <w:iCs w:val="1"/>
          <w:color w:val="auto"/>
        </w:rPr>
        <w:t>be</w:t>
      </w:r>
      <w:r>
        <w:rPr>
          <w:rFonts w:ascii="Times New Roman" w:cs="Times New Roman" w:eastAsia="Times New Roman" w:hAnsi="Times New Roman"/>
          <w:sz w:val="14"/>
          <w:szCs w:val="14"/>
          <w:color w:val="auto"/>
        </w:rPr>
        <w:t xml:space="preserve"> filed by amendment hereto or pursuant to a Current Report on Form 8-K to be incorporated by reference.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122555</wp:posOffset>
            </wp:positionV>
            <wp:extent cx="682625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6826250" cy="1651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52" w:name="page53"/>
    <w:bookmarkEnd w:id="5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1" w:lineRule="exact"/>
        <w:rPr>
          <w:sz w:val="20"/>
          <w:szCs w:val="20"/>
          <w:color w:val="auto"/>
        </w:rPr>
      </w:pPr>
    </w:p>
    <w:p>
      <w:pPr>
        <w:jc w:val="both"/>
        <w:ind w:left="400" w:right="399" w:firstLine="351"/>
        <w:spacing w:after="0" w:line="25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the requirements for filing on Form S-3 and has duly caused this Registration Statement to be signed on its behalf by the undersigned, thereunto duly authorized, in the City of New York, State of New York, on May 1, 2026.</w:t>
      </w:r>
    </w:p>
    <w:p>
      <w:pPr>
        <w:spacing w:after="0" w:line="22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FTAI AVIATION LTD.</w:t>
      </w:r>
    </w:p>
    <w:p>
      <w:pPr>
        <w:spacing w:after="0" w:line="215" w:lineRule="exact"/>
        <w:rPr>
          <w:sz w:val="20"/>
          <w:szCs w:val="20"/>
          <w:color w:val="auto"/>
        </w:rPr>
      </w:pPr>
    </w:p>
    <w:p>
      <w:pPr>
        <w:ind w:left="4320"/>
        <w:spacing w:after="0"/>
        <w:tabs>
          <w:tab w:leader="none" w:pos="4780" w:val="left"/>
        </w:tabs>
        <w:rPr>
          <w:sz w:val="20"/>
          <w:szCs w:val="20"/>
          <w:color w:val="auto"/>
        </w:rPr>
      </w:pPr>
      <w:r>
        <w:rPr>
          <w:rFonts w:ascii="Times New Roman" w:cs="Times New Roman" w:eastAsia="Times New Roman" w:hAnsi="Times New Roman"/>
          <w:sz w:val="18"/>
          <w:szCs w:val="18"/>
          <w:color w:val="auto"/>
        </w:rPr>
        <w:t>By:</w:t>
        <w:tab/>
        <w:t>/s/ Joseph P. Adams, Jr.</w:t>
      </w:r>
    </w:p>
    <w:p>
      <w:pPr>
        <w:spacing w:after="0" w:line="35" w:lineRule="exact"/>
        <w:rPr>
          <w:sz w:val="20"/>
          <w:szCs w:val="20"/>
          <w:color w:val="auto"/>
        </w:rPr>
      </w:pPr>
    </w:p>
    <w:tbl>
      <w:tblPr>
        <w:tblLayout w:type="fixed"/>
        <w:tblInd w:w="4800" w:type="dxa"/>
        <w:tblCellMar>
          <w:top w:w="0" w:type="dxa"/>
          <w:left w:w="0" w:type="dxa"/>
          <w:bottom w:w="0" w:type="dxa"/>
          <w:right w:w="0" w:type="dxa"/>
        </w:tblCellMar>
      </w:tblPr>
      <w:tr>
        <w:trPr>
          <w:trHeight w:val="199"/>
        </w:trPr>
        <w:tc>
          <w:tcPr>
            <w:tcW w:w="5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18"/>
                <w:szCs w:val="18"/>
                <w:color w:val="auto"/>
              </w:rPr>
              <w:t>Name:</w:t>
            </w:r>
          </w:p>
        </w:tc>
        <w:tc>
          <w:tcPr>
            <w:tcW w:w="3240" w:type="dxa"/>
            <w:vAlign w:val="bottom"/>
            <w:tcBorders>
              <w:top w:val="single" w:sz="8" w:color="auto"/>
            </w:tcBorders>
          </w:tcPr>
          <w:p>
            <w:pPr>
              <w:ind w:left="100"/>
              <w:spacing w:after="0" w:line="200" w:lineRule="exact"/>
              <w:rPr>
                <w:sz w:val="20"/>
                <w:szCs w:val="20"/>
                <w:color w:val="auto"/>
              </w:rPr>
            </w:pPr>
            <w:r>
              <w:rPr>
                <w:rFonts w:ascii="Times New Roman" w:cs="Times New Roman" w:eastAsia="Times New Roman" w:hAnsi="Times New Roman"/>
                <w:sz w:val="18"/>
                <w:szCs w:val="18"/>
                <w:color w:val="auto"/>
              </w:rPr>
              <w:t>Joseph P. Adams, Jr.</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40" w:lineRule="exact"/>
        <w:rPr>
          <w:sz w:val="20"/>
          <w:szCs w:val="20"/>
          <w:color w:val="auto"/>
        </w:rPr>
      </w:pPr>
    </w:p>
    <w:p>
      <w:pPr>
        <w:jc w:val="both"/>
        <w:ind w:left="400" w:right="399" w:firstLine="351"/>
        <w:spacing w:after="0" w:line="280" w:lineRule="auto"/>
        <w:rPr>
          <w:sz w:val="20"/>
          <w:szCs w:val="20"/>
          <w:color w:val="auto"/>
        </w:rPr>
      </w:pPr>
      <w:r>
        <w:rPr>
          <w:rFonts w:ascii="Times New Roman" w:cs="Times New Roman" w:eastAsia="Times New Roman" w:hAnsi="Times New Roman"/>
          <w:sz w:val="16"/>
          <w:szCs w:val="16"/>
          <w:color w:val="auto"/>
        </w:rPr>
        <w:t>KNOW BY ALL THESE PRESENT that the individuals whose signatures appear below constitute and appoint each of Joseph P. Adams, Jr. and Nicholas McAleese to be their lawful attorneys-in-fact and agents with full and several powers of substitution, in their names, places and steads and on their behalves, and in any and all capacities, to sign any and all amendments (including post-effective amendments) to this Registration Statement and to sign any and all additional registration statements relating to the Registration Statement and filed pursuant to Rule 462 of the Securities Act of 1933, as amended, and to file the same, with all exhibits thereto, and all documents in connection therewith, with the Securities and Exchange Commission, granting unto each said attorney-in-fact and agent full power and authority to do and perform each and every act and thing which said attorney-in-fact and agent may deem necessary or advisable to be done or performed in connection with any or all of the above described matters, as fully as each of the undersigned could do if personally present and acting, hereby ratifying and confirming all that said attorney-in-fact and agent, or his substitute or substitutes, may lawfully do or cause to be done.</w:t>
      </w:r>
    </w:p>
    <w:p>
      <w:pPr>
        <w:spacing w:after="0" w:line="63" w:lineRule="exact"/>
        <w:rPr>
          <w:sz w:val="20"/>
          <w:szCs w:val="20"/>
          <w:color w:val="auto"/>
        </w:rPr>
      </w:pPr>
    </w:p>
    <w:p>
      <w:pPr>
        <w:jc w:val="both"/>
        <w:ind w:left="400" w:right="399" w:firstLine="351"/>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below by the following persons on behalf of the registrant and in the capacities and on the dates indicated.</w:t>
      </w:r>
    </w:p>
    <w:p>
      <w:pPr>
        <w:spacing w:after="0" w:line="202"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23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6"/>
                <w:szCs w:val="16"/>
                <w:color w:val="auto"/>
              </w:rPr>
            </w:pPr>
          </w:p>
        </w:tc>
        <w:tc>
          <w:tcPr>
            <w:tcW w:w="38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w:t>
            </w:r>
          </w:p>
        </w:tc>
        <w:tc>
          <w:tcPr>
            <w:tcW w:w="0" w:type="dxa"/>
            <w:vAlign w:val="bottom"/>
          </w:tcPr>
          <w:p>
            <w:pPr>
              <w:spacing w:after="0"/>
              <w:rPr>
                <w:sz w:val="1"/>
                <w:szCs w:val="1"/>
                <w:color w:val="auto"/>
              </w:rPr>
            </w:pPr>
          </w:p>
        </w:tc>
      </w:tr>
      <w:tr>
        <w:trPr>
          <w:trHeight w:val="415"/>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 Joseph P. Adams, Jr.</w:t>
            </w:r>
          </w:p>
        </w:tc>
        <w:tc>
          <w:tcPr>
            <w:tcW w:w="4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1, 2026</w:t>
            </w:r>
          </w:p>
        </w:tc>
        <w:tc>
          <w:tcPr>
            <w:tcW w:w="0" w:type="dxa"/>
            <w:vAlign w:val="bottom"/>
          </w:tcPr>
          <w:p>
            <w:pPr>
              <w:spacing w:after="0"/>
              <w:rPr>
                <w:sz w:val="1"/>
                <w:szCs w:val="1"/>
                <w:color w:val="auto"/>
              </w:rPr>
            </w:pPr>
          </w:p>
        </w:tc>
      </w:tr>
      <w:tr>
        <w:trPr>
          <w:trHeight w:val="32"/>
        </w:trPr>
        <w:tc>
          <w:tcPr>
            <w:tcW w:w="2320" w:type="dxa"/>
            <w:vAlign w:val="bottom"/>
            <w:tcBorders>
              <w:bottom w:val="single" w:sz="8" w:color="auto"/>
            </w:tcBorders>
          </w:tcPr>
          <w:p>
            <w:pPr>
              <w:spacing w:after="0"/>
              <w:rPr>
                <w:sz w:val="2"/>
                <w:szCs w:val="2"/>
                <w:color w:val="auto"/>
              </w:rPr>
            </w:pPr>
          </w:p>
        </w:tc>
        <w:tc>
          <w:tcPr>
            <w:tcW w:w="4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Joseph P. Adams, Jr.</w:t>
            </w:r>
          </w:p>
        </w:tc>
        <w:tc>
          <w:tcPr>
            <w:tcW w:w="40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 Nicholas McAleese</w:t>
            </w:r>
          </w:p>
        </w:tc>
        <w:tc>
          <w:tcPr>
            <w:tcW w:w="4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1, 2026</w:t>
            </w:r>
          </w:p>
        </w:tc>
        <w:tc>
          <w:tcPr>
            <w:tcW w:w="0" w:type="dxa"/>
            <w:vAlign w:val="bottom"/>
          </w:tcPr>
          <w:p>
            <w:pPr>
              <w:spacing w:after="0"/>
              <w:rPr>
                <w:sz w:val="1"/>
                <w:szCs w:val="1"/>
                <w:color w:val="auto"/>
              </w:rPr>
            </w:pPr>
          </w:p>
        </w:tc>
      </w:tr>
      <w:tr>
        <w:trPr>
          <w:trHeight w:val="32"/>
        </w:trPr>
        <w:tc>
          <w:tcPr>
            <w:tcW w:w="2320" w:type="dxa"/>
            <w:vAlign w:val="bottom"/>
            <w:tcBorders>
              <w:bottom w:val="single" w:sz="8" w:color="auto"/>
            </w:tcBorders>
          </w:tcPr>
          <w:p>
            <w:pPr>
              <w:spacing w:after="0"/>
              <w:rPr>
                <w:sz w:val="2"/>
                <w:szCs w:val="2"/>
                <w:color w:val="auto"/>
              </w:rPr>
            </w:pPr>
          </w:p>
        </w:tc>
        <w:tc>
          <w:tcPr>
            <w:tcW w:w="4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Nicholas McAleese</w:t>
            </w:r>
          </w:p>
        </w:tc>
        <w:tc>
          <w:tcPr>
            <w:tcW w:w="40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 Michael Hazan</w:t>
            </w:r>
          </w:p>
        </w:tc>
        <w:tc>
          <w:tcPr>
            <w:tcW w:w="4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1, 2026</w:t>
            </w:r>
          </w:p>
        </w:tc>
        <w:tc>
          <w:tcPr>
            <w:tcW w:w="0" w:type="dxa"/>
            <w:vAlign w:val="bottom"/>
          </w:tcPr>
          <w:p>
            <w:pPr>
              <w:spacing w:after="0"/>
              <w:rPr>
                <w:sz w:val="1"/>
                <w:szCs w:val="1"/>
                <w:color w:val="auto"/>
              </w:rPr>
            </w:pPr>
          </w:p>
        </w:tc>
      </w:tr>
      <w:tr>
        <w:trPr>
          <w:trHeight w:val="32"/>
        </w:trPr>
        <w:tc>
          <w:tcPr>
            <w:tcW w:w="2320" w:type="dxa"/>
            <w:vAlign w:val="bottom"/>
            <w:tcBorders>
              <w:bottom w:val="single" w:sz="8" w:color="auto"/>
            </w:tcBorders>
          </w:tcPr>
          <w:p>
            <w:pPr>
              <w:spacing w:after="0"/>
              <w:rPr>
                <w:sz w:val="2"/>
                <w:szCs w:val="2"/>
                <w:color w:val="auto"/>
              </w:rPr>
            </w:pPr>
          </w:p>
        </w:tc>
        <w:tc>
          <w:tcPr>
            <w:tcW w:w="4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Michael Hazan</w:t>
            </w:r>
          </w:p>
        </w:tc>
        <w:tc>
          <w:tcPr>
            <w:tcW w:w="40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Shyam Gidumal</w:t>
            </w:r>
          </w:p>
        </w:tc>
        <w:tc>
          <w:tcPr>
            <w:tcW w:w="4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1, 2026</w:t>
            </w:r>
          </w:p>
        </w:tc>
        <w:tc>
          <w:tcPr>
            <w:tcW w:w="0" w:type="dxa"/>
            <w:vAlign w:val="bottom"/>
          </w:tcPr>
          <w:p>
            <w:pPr>
              <w:spacing w:after="0"/>
              <w:rPr>
                <w:sz w:val="1"/>
                <w:szCs w:val="1"/>
                <w:color w:val="auto"/>
              </w:rPr>
            </w:pPr>
          </w:p>
        </w:tc>
      </w:tr>
      <w:tr>
        <w:trPr>
          <w:trHeight w:val="22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Shyam Gidumal</w:t>
            </w:r>
          </w:p>
        </w:tc>
        <w:tc>
          <w:tcPr>
            <w:tcW w:w="2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R. Goodwin</w:t>
            </w:r>
          </w:p>
        </w:tc>
        <w:tc>
          <w:tcPr>
            <w:tcW w:w="4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1, 2026</w:t>
            </w:r>
          </w:p>
        </w:tc>
        <w:tc>
          <w:tcPr>
            <w:tcW w:w="0" w:type="dxa"/>
            <w:vAlign w:val="bottom"/>
          </w:tcPr>
          <w:p>
            <w:pPr>
              <w:spacing w:after="0"/>
              <w:rPr>
                <w:sz w:val="1"/>
                <w:szCs w:val="1"/>
                <w:color w:val="auto"/>
              </w:rPr>
            </w:pPr>
          </w:p>
        </w:tc>
      </w:tr>
      <w:tr>
        <w:trPr>
          <w:trHeight w:val="22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Paul R. Goodwin</w:t>
            </w:r>
          </w:p>
        </w:tc>
        <w:tc>
          <w:tcPr>
            <w:tcW w:w="2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Judith A. Hannaway</w:t>
            </w:r>
          </w:p>
        </w:tc>
        <w:tc>
          <w:tcPr>
            <w:tcW w:w="4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1, 2026</w:t>
            </w:r>
          </w:p>
        </w:tc>
        <w:tc>
          <w:tcPr>
            <w:tcW w:w="0" w:type="dxa"/>
            <w:vAlign w:val="bottom"/>
          </w:tcPr>
          <w:p>
            <w:pPr>
              <w:spacing w:after="0"/>
              <w:rPr>
                <w:sz w:val="1"/>
                <w:szCs w:val="1"/>
                <w:color w:val="auto"/>
              </w:rPr>
            </w:pPr>
          </w:p>
        </w:tc>
      </w:tr>
      <w:tr>
        <w:trPr>
          <w:trHeight w:val="22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Judith A. Hannaway</w:t>
            </w:r>
          </w:p>
        </w:tc>
        <w:tc>
          <w:tcPr>
            <w:tcW w:w="2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 Andrew Levison</w:t>
            </w:r>
          </w:p>
        </w:tc>
        <w:tc>
          <w:tcPr>
            <w:tcW w:w="4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1, 2026</w:t>
            </w:r>
          </w:p>
        </w:tc>
        <w:tc>
          <w:tcPr>
            <w:tcW w:w="0" w:type="dxa"/>
            <w:vAlign w:val="bottom"/>
          </w:tcPr>
          <w:p>
            <w:pPr>
              <w:spacing w:after="0"/>
              <w:rPr>
                <w:sz w:val="1"/>
                <w:szCs w:val="1"/>
                <w:color w:val="auto"/>
              </w:rPr>
            </w:pPr>
          </w:p>
        </w:tc>
      </w:tr>
      <w:tr>
        <w:trPr>
          <w:trHeight w:val="22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 Andrew Levison</w:t>
            </w:r>
          </w:p>
        </w:tc>
        <w:tc>
          <w:tcPr>
            <w:tcW w:w="2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 M. Robinson</w:t>
            </w:r>
          </w:p>
        </w:tc>
        <w:tc>
          <w:tcPr>
            <w:tcW w:w="4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1, 2026</w:t>
            </w:r>
          </w:p>
        </w:tc>
        <w:tc>
          <w:tcPr>
            <w:tcW w:w="0" w:type="dxa"/>
            <w:vAlign w:val="bottom"/>
          </w:tcPr>
          <w:p>
            <w:pPr>
              <w:spacing w:after="0"/>
              <w:rPr>
                <w:sz w:val="1"/>
                <w:szCs w:val="1"/>
                <w:color w:val="auto"/>
              </w:rPr>
            </w:pPr>
          </w:p>
        </w:tc>
      </w:tr>
      <w:tr>
        <w:trPr>
          <w:trHeight w:val="22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Ray M. Robinson</w:t>
            </w:r>
          </w:p>
        </w:tc>
        <w:tc>
          <w:tcPr>
            <w:tcW w:w="2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Martin Tuchman</w:t>
            </w:r>
          </w:p>
        </w:tc>
        <w:tc>
          <w:tcPr>
            <w:tcW w:w="4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1, 2026</w:t>
            </w:r>
          </w:p>
        </w:tc>
        <w:tc>
          <w:tcPr>
            <w:tcW w:w="0" w:type="dxa"/>
            <w:vAlign w:val="bottom"/>
          </w:tcPr>
          <w:p>
            <w:pPr>
              <w:spacing w:after="0"/>
              <w:rPr>
                <w:sz w:val="1"/>
                <w:szCs w:val="1"/>
                <w:color w:val="auto"/>
              </w:rPr>
            </w:pPr>
          </w:p>
        </w:tc>
      </w:tr>
      <w:tr>
        <w:trPr>
          <w:trHeight w:val="22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Martin Tuchman</w:t>
            </w:r>
          </w:p>
        </w:tc>
        <w:tc>
          <w:tcPr>
            <w:tcW w:w="2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9019"/>
          </w:cols>
          <w:pgMar w:left="1440" w:top="260"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5495" cy="336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35495" cy="33655"/>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5269865" cy="1162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5269865" cy="1162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ref OTS/737066-000001/87494780v2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FTAI Aviation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309, Ugland House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KY1-1104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May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FTAI Aviation Ltd.</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acted as counsel as to Cayman Islands law to FTAI Aviation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Company's registration statement on Form S-3, including all amendments or supplements thereto, filed with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United States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(including its exhibits,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related to securities to be issued and sold by the Company from time to time (together,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include:</w:t>
      </w:r>
    </w:p>
    <w:p>
      <w:pPr>
        <w:spacing w:after="0" w:line="181" w:lineRule="exact"/>
        <w:rPr>
          <w:sz w:val="20"/>
          <w:szCs w:val="20"/>
          <w:color w:val="auto"/>
        </w:rPr>
      </w:pPr>
    </w:p>
    <w:p>
      <w:pPr>
        <w:ind w:left="640" w:hanging="31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par value $0.01 each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w:t>
      </w:r>
    </w:p>
    <w:p>
      <w:pPr>
        <w:spacing w:after="0" w:line="214"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 of par value $0.01 each which we may issue in one or more series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w:t>
      </w:r>
    </w:p>
    <w:p>
      <w:pPr>
        <w:spacing w:after="0" w:line="214" w:lineRule="exact"/>
        <w:rPr>
          <w:rFonts w:ascii="Times New Roman" w:cs="Times New Roman" w:eastAsia="Times New Roman" w:hAnsi="Times New Roman"/>
          <w:sz w:val="18"/>
          <w:szCs w:val="18"/>
          <w:color w:val="auto"/>
        </w:rPr>
      </w:pPr>
    </w:p>
    <w:p>
      <w:pPr>
        <w:ind w:left="640" w:hanging="318"/>
        <w:spacing w:after="0" w:line="271"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 representing interests in a particular series of Preferred Shares (the "</w:t>
      </w:r>
      <w:r>
        <w:rPr>
          <w:rFonts w:ascii="Times New Roman" w:cs="Times New Roman" w:eastAsia="Times New Roman" w:hAnsi="Times New Roman"/>
          <w:sz w:val="18"/>
          <w:szCs w:val="18"/>
          <w:b w:val="1"/>
          <w:bCs w:val="1"/>
          <w:color w:val="auto"/>
        </w:rPr>
        <w:t>Depositary Shares</w:t>
      </w:r>
      <w:r>
        <w:rPr>
          <w:rFonts w:ascii="Times New Roman" w:cs="Times New Roman" w:eastAsia="Times New Roman" w:hAnsi="Times New Roman"/>
          <w:sz w:val="18"/>
          <w:szCs w:val="18"/>
          <w:color w:val="auto"/>
        </w:rPr>
        <w:t>"), which may be issued under one or more preferred share depositary agreements (each, a “</w:t>
      </w:r>
      <w:r>
        <w:rPr>
          <w:rFonts w:ascii="Times New Roman" w:cs="Times New Roman" w:eastAsia="Times New Roman" w:hAnsi="Times New Roman"/>
          <w:sz w:val="18"/>
          <w:szCs w:val="18"/>
          <w:b w:val="1"/>
          <w:bCs w:val="1"/>
          <w:color w:val="auto"/>
        </w:rPr>
        <w:t>Depositary Agreement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Depositary Agreements</w:t>
      </w:r>
      <w:r>
        <w:rPr>
          <w:rFonts w:ascii="Times New Roman" w:cs="Times New Roman" w:eastAsia="Times New Roman" w:hAnsi="Times New Roman"/>
          <w:sz w:val="18"/>
          <w:szCs w:val="18"/>
          <w:color w:val="auto"/>
        </w:rPr>
        <w:t>");</w:t>
      </w:r>
    </w:p>
    <w:p>
      <w:pPr>
        <w:spacing w:after="0" w:line="164" w:lineRule="exact"/>
        <w:rPr>
          <w:rFonts w:ascii="Times New Roman" w:cs="Times New Roman" w:eastAsia="Times New Roman" w:hAnsi="Times New Roman"/>
          <w:sz w:val="18"/>
          <w:szCs w:val="18"/>
          <w:color w:val="auto"/>
        </w:rPr>
      </w:pPr>
    </w:p>
    <w:p>
      <w:pPr>
        <w:jc w:val="both"/>
        <w:ind w:left="640" w:hanging="318"/>
        <w:spacing w:after="0" w:line="258"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issuable pursuant to the terms of one or more warrant agreements to be entered into by the Company and a warrant agent (each such warrant agreement, a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Warrant Agreements</w:t>
      </w:r>
      <w:r>
        <w:rPr>
          <w:rFonts w:ascii="Times New Roman" w:cs="Times New Roman" w:eastAsia="Times New Roman" w:hAnsi="Times New Roman"/>
          <w:sz w:val="18"/>
          <w:szCs w:val="18"/>
          <w:color w:val="auto"/>
        </w:rPr>
        <w:t>") and warrant certificate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and, together with the Warrant Agreements, the "</w:t>
      </w:r>
      <w:r>
        <w:rPr>
          <w:rFonts w:ascii="Times New Roman" w:cs="Times New Roman" w:eastAsia="Times New Roman" w:hAnsi="Times New Roman"/>
          <w:sz w:val="18"/>
          <w:szCs w:val="18"/>
          <w:b w:val="1"/>
          <w:bCs w:val="1"/>
          <w:color w:val="auto"/>
        </w:rPr>
        <w:t>Warrant Documents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40" w:hanging="318"/>
        <w:spacing w:after="0" w:line="271"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 (the "</w:t>
      </w:r>
      <w:r>
        <w:rPr>
          <w:rFonts w:ascii="Times New Roman" w:cs="Times New Roman" w:eastAsia="Times New Roman" w:hAnsi="Times New Roman"/>
          <w:sz w:val="18"/>
          <w:szCs w:val="18"/>
          <w:b w:val="1"/>
          <w:bCs w:val="1"/>
          <w:color w:val="auto"/>
        </w:rPr>
        <w:t>Purchase Contracts</w:t>
      </w:r>
      <w:r>
        <w:rPr>
          <w:rFonts w:ascii="Times New Roman" w:cs="Times New Roman" w:eastAsia="Times New Roman" w:hAnsi="Times New Roman"/>
          <w:sz w:val="18"/>
          <w:szCs w:val="18"/>
          <w:color w:val="auto"/>
        </w:rPr>
        <w:t>"), which may be issued pursuant to one or more purchase contract agreements (each such purchase contract agreement, a “</w:t>
      </w:r>
      <w:r>
        <w:rPr>
          <w:rFonts w:ascii="Times New Roman" w:cs="Times New Roman" w:eastAsia="Times New Roman" w:hAnsi="Times New Roman"/>
          <w:sz w:val="18"/>
          <w:szCs w:val="18"/>
          <w:b w:val="1"/>
          <w:bCs w:val="1"/>
          <w:color w:val="auto"/>
        </w:rPr>
        <w:t>Purchase Contract Agreement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Purchase Contract Agreements</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auto"/>
        </w:rPr>
      </w:pPr>
    </w:p>
    <w:p>
      <w:pPr>
        <w:jc w:val="both"/>
        <w:ind w:left="640" w:hanging="318"/>
        <w:spacing w:after="0" w:line="250"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including senior debt securities, subordinated debt securities or junior subordinated debt securities; warrants to purchase debt or equity securities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each series of Debt Securities to be issued under an indenture to be entered into by the Company and the trustee, substantially in the form attached as an Exhibit to the Registration Statement, as each such indenture may be supplemented, in connection with the issuance of each such series, by a supplemental indenture, officers' certificate or other writing thereunder establishing the form and terms of such series;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799465</wp:posOffset>
            </wp:positionV>
            <wp:extent cx="713549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35495"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130175</wp:posOffset>
            </wp:positionV>
            <wp:extent cx="2668270" cy="4349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2668270" cy="43497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54" w:name="page55"/>
    <w:bookmarkEnd w:id="54"/>
    <w:p>
      <w:pPr>
        <w:jc w:val="both"/>
        <w:ind w:left="640" w:hanging="318"/>
        <w:spacing w:after="0" w:line="258"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which may be comprised of one or more of the other securities described above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issuable pursuant to the terms of one or more unit agreements (each, a "</w:t>
      </w:r>
      <w:r>
        <w:rPr>
          <w:rFonts w:ascii="Times New Roman" w:cs="Times New Roman" w:eastAsia="Times New Roman" w:hAnsi="Times New Roman"/>
          <w:sz w:val="18"/>
          <w:szCs w:val="18"/>
          <w:b w:val="1"/>
          <w:bCs w:val="1"/>
          <w:color w:val="auto"/>
        </w:rPr>
        <w:t>Unit Agreement</w:t>
      </w:r>
      <w:r>
        <w:rPr>
          <w:rFonts w:ascii="Times New Roman" w:cs="Times New Roman" w:eastAsia="Times New Roman" w:hAnsi="Times New Roman"/>
          <w:sz w:val="18"/>
          <w:szCs w:val="18"/>
          <w:color w:val="auto"/>
        </w:rPr>
        <w:t>") and unit certificates (each, a "</w:t>
      </w:r>
      <w:r>
        <w:rPr>
          <w:rFonts w:ascii="Times New Roman" w:cs="Times New Roman" w:eastAsia="Times New Roman" w:hAnsi="Times New Roman"/>
          <w:sz w:val="18"/>
          <w:szCs w:val="18"/>
          <w:b w:val="1"/>
          <w:bCs w:val="1"/>
          <w:color w:val="auto"/>
        </w:rPr>
        <w:t>Unit Certificate</w:t>
      </w:r>
      <w:r>
        <w:rPr>
          <w:rFonts w:ascii="Times New Roman" w:cs="Times New Roman" w:eastAsia="Times New Roman" w:hAnsi="Times New Roman"/>
          <w:sz w:val="18"/>
          <w:szCs w:val="18"/>
          <w:color w:val="auto"/>
        </w:rPr>
        <w:t>" and, together with the Unit Agreements, the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letter is given in accordance with the terms of the Legal Matters section of the Registration Statement.</w:t>
      </w:r>
    </w:p>
    <w:p>
      <w:pPr>
        <w:spacing w:after="0" w:line="213" w:lineRule="exact"/>
        <w:rPr>
          <w:sz w:val="20"/>
          <w:szCs w:val="20"/>
          <w:color w:val="auto"/>
        </w:rPr>
      </w:pPr>
    </w:p>
    <w:p>
      <w:pPr>
        <w:ind w:left="640" w:hanging="635"/>
        <w:spacing w:after="0"/>
        <w:tabs>
          <w:tab w:leader="none" w:pos="6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Reviewed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reviewed originals, copies, drafts or conformed copies of the following documents:</w:t>
      </w:r>
    </w:p>
    <w:p>
      <w:pPr>
        <w:spacing w:after="0" w:line="215" w:lineRule="exact"/>
        <w:rPr>
          <w:sz w:val="20"/>
          <w:szCs w:val="20"/>
          <w:color w:val="auto"/>
        </w:rPr>
      </w:pPr>
    </w:p>
    <w:p>
      <w:pPr>
        <w:jc w:val="both"/>
        <w:ind w:left="640" w:hanging="631"/>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certificate of incorporation with respect to the Company dated 8 December 2017, the certificate of incorporation on change of name with respect to the Company dated 10 November 2022 and the amended and restated memorandum and articles of association of the Company adopted by special resolution passed on 9 November 2022 (the "</w:t>
      </w:r>
      <w:r>
        <w:rPr>
          <w:rFonts w:ascii="Times New Roman" w:cs="Times New Roman" w:eastAsia="Times New Roman" w:hAnsi="Times New Roman"/>
          <w:sz w:val="18"/>
          <w:szCs w:val="18"/>
          <w:b w:val="1"/>
          <w:bCs w:val="1"/>
          <w:color w:val="auto"/>
        </w:rPr>
        <w:t>Memorandum and Articles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color w:val="auto"/>
        </w:rPr>
        <w:t>The written resolutions of the board of directors of the Company dated 28 April 2026 (the "</w:t>
      </w:r>
      <w:r>
        <w:rPr>
          <w:rFonts w:ascii="Times New Roman" w:cs="Times New Roman" w:eastAsia="Times New Roman" w:hAnsi="Times New Roman"/>
          <w:sz w:val="16"/>
          <w:szCs w:val="16"/>
          <w:b w:val="1"/>
          <w:bCs w:val="1"/>
          <w:color w:val="auto"/>
        </w:rPr>
        <w:t>Resolutions</w:t>
      </w:r>
      <w:r>
        <w:rPr>
          <w:rFonts w:ascii="Times New Roman" w:cs="Times New Roman" w:eastAsia="Times New Roman" w:hAnsi="Times New Roman"/>
          <w:sz w:val="16"/>
          <w:szCs w:val="16"/>
          <w:color w:val="auto"/>
        </w:rPr>
        <w:t>").</w:t>
      </w:r>
    </w:p>
    <w:p>
      <w:pPr>
        <w:spacing w:after="0" w:line="2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6"/>
          <w:szCs w:val="16"/>
          <w:color w:val="auto"/>
        </w:rPr>
        <w:t>The following corporate records of the Company maintained at its registered office in the Cayman Islands, each as at the date of this opinion letter:</w:t>
      </w:r>
    </w:p>
    <w:p>
      <w:pPr>
        <w:spacing w:after="0" w:line="215" w:lineRule="exact"/>
        <w:rPr>
          <w:sz w:val="20"/>
          <w:szCs w:val="20"/>
          <w:color w:val="auto"/>
        </w:rPr>
      </w:pPr>
    </w:p>
    <w:p>
      <w:pPr>
        <w:ind w:left="1280" w:hanging="642"/>
        <w:spacing w:after="0"/>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of Directors and Officers; and</w:t>
      </w:r>
    </w:p>
    <w:p>
      <w:pPr>
        <w:spacing w:after="0" w:line="214" w:lineRule="exact"/>
        <w:rPr>
          <w:rFonts w:ascii="Times New Roman" w:cs="Times New Roman" w:eastAsia="Times New Roman" w:hAnsi="Times New Roman"/>
          <w:sz w:val="18"/>
          <w:szCs w:val="18"/>
          <w:color w:val="auto"/>
        </w:rPr>
      </w:pPr>
    </w:p>
    <w:p>
      <w:pPr>
        <w:ind w:left="1280" w:hanging="642"/>
        <w:spacing w:after="0"/>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of Mortgages and Charges.</w:t>
      </w:r>
    </w:p>
    <w:p>
      <w:pPr>
        <w:spacing w:after="0" w:line="21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6"/>
          <w:szCs w:val="16"/>
          <w:color w:val="auto"/>
        </w:rPr>
        <w:t>A certificate of good standing with respect to the Company issued by the Registrar of Companies (the "</w:t>
      </w:r>
      <w:r>
        <w:rPr>
          <w:rFonts w:ascii="Times New Roman" w:cs="Times New Roman" w:eastAsia="Times New Roman" w:hAnsi="Times New Roman"/>
          <w:sz w:val="16"/>
          <w:szCs w:val="16"/>
          <w:b w:val="1"/>
          <w:bCs w:val="1"/>
          <w:color w:val="auto"/>
        </w:rPr>
        <w:t>Certificate of Good Standing</w:t>
      </w:r>
      <w:r>
        <w:rPr>
          <w:rFonts w:ascii="Times New Roman" w:cs="Times New Roman" w:eastAsia="Times New Roman" w:hAnsi="Times New Roman"/>
          <w:sz w:val="16"/>
          <w:szCs w:val="16"/>
          <w:color w:val="auto"/>
        </w:rPr>
        <w:t>").</w:t>
      </w:r>
    </w:p>
    <w:p>
      <w:pPr>
        <w:spacing w:after="0" w:line="2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6"/>
          <w:szCs w:val="16"/>
          <w:color w:val="auto"/>
        </w:rPr>
        <w:t>A certificate from a director of the Company a copy of which is attached to this opinion letter (the "</w:t>
      </w:r>
      <w:r>
        <w:rPr>
          <w:rFonts w:ascii="Times New Roman" w:cs="Times New Roman" w:eastAsia="Times New Roman" w:hAnsi="Times New Roman"/>
          <w:sz w:val="16"/>
          <w:szCs w:val="16"/>
          <w:b w:val="1"/>
          <w:bCs w:val="1"/>
          <w:color w:val="auto"/>
        </w:rPr>
        <w:t>Director's Certificate</w:t>
      </w:r>
      <w:r>
        <w:rPr>
          <w:rFonts w:ascii="Times New Roman" w:cs="Times New Roman" w:eastAsia="Times New Roman" w:hAnsi="Times New Roman"/>
          <w:sz w:val="16"/>
          <w:szCs w:val="16"/>
          <w:color w:val="auto"/>
        </w:rPr>
        <w:t>").</w:t>
      </w:r>
    </w:p>
    <w:p>
      <w:pPr>
        <w:spacing w:after="0" w:line="2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6"/>
          <w:szCs w:val="16"/>
          <w:color w:val="auto"/>
        </w:rPr>
        <w:t>The Registration Statement.</w:t>
      </w:r>
    </w:p>
    <w:p>
      <w:pPr>
        <w:spacing w:after="0" w:line="21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6"/>
          <w:szCs w:val="16"/>
          <w:color w:val="auto"/>
        </w:rPr>
        <w:t>The forms of senior debt securities indenture and subordinated debt securities indenture in respect of the Debt Securities (together, the "</w:t>
      </w:r>
      <w:r>
        <w:rPr>
          <w:rFonts w:ascii="Times New Roman" w:cs="Times New Roman" w:eastAsia="Times New Roman" w:hAnsi="Times New Roman"/>
          <w:sz w:val="16"/>
          <w:szCs w:val="16"/>
          <w:b w:val="1"/>
          <w:bCs w:val="1"/>
          <w:color w:val="auto"/>
        </w:rPr>
        <w:t>Documents</w:t>
      </w:r>
      <w:r>
        <w:rPr>
          <w:rFonts w:ascii="Times New Roman" w:cs="Times New Roman" w:eastAsia="Times New Roman" w:hAnsi="Times New Roman"/>
          <w:sz w:val="16"/>
          <w:szCs w:val="16"/>
          <w:color w:val="auto"/>
        </w:rPr>
        <w:t>").</w:t>
      </w:r>
    </w:p>
    <w:p>
      <w:pPr>
        <w:spacing w:after="0" w:line="215" w:lineRule="exact"/>
        <w:rPr>
          <w:sz w:val="20"/>
          <w:szCs w:val="20"/>
          <w:color w:val="auto"/>
        </w:rPr>
      </w:pPr>
    </w:p>
    <w:p>
      <w:pPr>
        <w:ind w:left="640" w:hanging="635"/>
        <w:spacing w:after="0"/>
        <w:tabs>
          <w:tab w:leader="none" w:pos="6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 following opinions, we have relied (without further verification) upon the completeness and accuracy, as at the date of this opinion letter, of the Director's Certificate and the Certificate of Good Standing. We have also relied upon the following assumptions, which we have not independently verified:</w:t>
      </w:r>
    </w:p>
    <w:p>
      <w:pPr>
        <w:spacing w:after="0" w:line="185" w:lineRule="exact"/>
        <w:rPr>
          <w:sz w:val="20"/>
          <w:szCs w:val="20"/>
          <w:color w:val="auto"/>
        </w:rPr>
      </w:pPr>
    </w:p>
    <w:p>
      <w:pPr>
        <w:jc w:val="both"/>
        <w:ind w:left="640" w:hanging="631"/>
        <w:spacing w:after="0" w:line="252" w:lineRule="auto"/>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Documents, the Depositary Shares issuable under the Depositary Agreements, the Warrants issuable under the Warrant Documents, the Purchase Contracts issuable under the Purchase Contract Agreements, the Debt Securities issuable under the Indenture Documents and the Units issuable under the Unit Documents have been, or will be, authorised and duly executed and unconditionally delivered by or on behalf of all relevant parties in accordance with all relevant laws.</w:t>
      </w:r>
    </w:p>
    <w:p>
      <w:pPr>
        <w:spacing w:after="0" w:line="338" w:lineRule="exact"/>
        <w:rPr>
          <w:sz w:val="20"/>
          <w:szCs w:val="20"/>
          <w:color w:val="auto"/>
        </w:rPr>
      </w:pPr>
    </w:p>
    <w:p>
      <w:pPr>
        <w:ind w:left="1118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3549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jc w:val="both"/>
        <w:ind w:left="640" w:hanging="631"/>
        <w:spacing w:after="0" w:line="294" w:lineRule="auto"/>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6"/>
          <w:szCs w:val="16"/>
          <w:color w:val="auto"/>
        </w:rPr>
        <w:t>The Documents, the Depositary Shares issuable under the Depositary Agreements, the Warrants issuable under the Warrant Documents, the Purchase Contracts issuable under the Purchase Contract Agreements, the Debt Securities issuable under the Indenture Documents and the Units issuable under the Unit Documents are, or will be, legal, valid, binding and enforceable against all relevant parties in accordance with their terms under the laws of the State of New York (the "</w:t>
      </w:r>
      <w:r>
        <w:rPr>
          <w:rFonts w:ascii="Times New Roman" w:cs="Times New Roman" w:eastAsia="Times New Roman" w:hAnsi="Times New Roman"/>
          <w:sz w:val="16"/>
          <w:szCs w:val="16"/>
          <w:b w:val="1"/>
          <w:bCs w:val="1"/>
          <w:color w:val="auto"/>
        </w:rPr>
        <w:t>Relevant Law</w:t>
      </w:r>
      <w:r>
        <w:rPr>
          <w:rFonts w:ascii="Times New Roman" w:cs="Times New Roman" w:eastAsia="Times New Roman" w:hAnsi="Times New Roman"/>
          <w:sz w:val="16"/>
          <w:szCs w:val="16"/>
          <w:color w:val="auto"/>
        </w:rPr>
        <w:t>") and all other relevant laws (other than, with respect to the Company, the laws of the Cayman Islands).</w:t>
      </w:r>
    </w:p>
    <w:p>
      <w:pPr>
        <w:spacing w:after="0" w:line="152" w:lineRule="exact"/>
        <w:rPr>
          <w:sz w:val="20"/>
          <w:szCs w:val="20"/>
          <w:color w:val="auto"/>
        </w:rPr>
      </w:pPr>
    </w:p>
    <w:p>
      <w:pPr>
        <w:jc w:val="both"/>
        <w:ind w:left="640" w:hanging="631"/>
        <w:spacing w:after="0" w:line="250"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choice of the Relevant Law as the governing law of the Documents, the Depositary Shares issuable under the Depositary Agreements, the Warrants issuable under the Warrant Documents, the Purchase Contracts issuable under the Purchase Contract Agreements, the Debt Securities issuable under the Indenture Documents and the Units issuable under the Unit Documents has been made in good faith and would be regarded as a valid and binding selection which will be upheld by the courts of the State of New York and any other relevant jurisdiction (other than the Cayman Islands) as a matter of the Relevant Law and all other relevant laws (other than the laws of the Cayman Islands).</w:t>
      </w:r>
    </w:p>
    <w:p>
      <w:pPr>
        <w:spacing w:after="0" w:line="18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6"/>
          <w:szCs w:val="16"/>
          <w:color w:val="auto"/>
        </w:rPr>
        <w:t>Copies of documents, conformed copies or drafts of documents provided to us are true and complete copies of, or in the final forms of, the originals.</w:t>
      </w:r>
    </w:p>
    <w:p>
      <w:pPr>
        <w:spacing w:after="0" w:line="2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6"/>
          <w:szCs w:val="16"/>
          <w:color w:val="auto"/>
        </w:rPr>
        <w:t>All signatures, initials and seals are genuine.</w:t>
      </w:r>
    </w:p>
    <w:p>
      <w:pPr>
        <w:spacing w:after="0" w:line="215" w:lineRule="exact"/>
        <w:rPr>
          <w:sz w:val="20"/>
          <w:szCs w:val="20"/>
          <w:color w:val="auto"/>
        </w:rPr>
      </w:pPr>
    </w:p>
    <w:p>
      <w:pPr>
        <w:jc w:val="both"/>
        <w:ind w:left="640" w:hanging="631"/>
        <w:spacing w:after="0" w:line="250" w:lineRule="auto"/>
        <w:tabs>
          <w:tab w:leader="none" w:pos="6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Documents, the Depositary Shares issuable under the Depositary Agreements, the Warrants issuable under the Warrant Documents, the Purchase Contracts issuable under the Purchase Contract Agreements, the Debt Securities issuable under the Indenture Documents and the Units issuable under the Unit Documents.</w:t>
      </w:r>
    </w:p>
    <w:p>
      <w:pPr>
        <w:spacing w:after="0" w:line="187" w:lineRule="exact"/>
        <w:rPr>
          <w:sz w:val="20"/>
          <w:szCs w:val="20"/>
          <w:color w:val="auto"/>
        </w:rPr>
      </w:pPr>
    </w:p>
    <w:p>
      <w:pPr>
        <w:jc w:val="both"/>
        <w:ind w:left="640" w:hanging="631"/>
        <w:spacing w:after="0" w:line="269" w:lineRule="auto"/>
        <w:tabs>
          <w:tab w:leader="none" w:pos="6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There is no contractual or other prohibition or restriction (other than as arising under Cayman Islands law) binding on the Company prohibiting or restricting it from entering into and performing its obligations under the Documents.</w:t>
      </w:r>
    </w:p>
    <w:p>
      <w:pPr>
        <w:spacing w:after="0" w:line="168" w:lineRule="exact"/>
        <w:rPr>
          <w:sz w:val="20"/>
          <w:szCs w:val="20"/>
          <w:color w:val="auto"/>
        </w:rPr>
      </w:pPr>
    </w:p>
    <w:p>
      <w:pPr>
        <w:jc w:val="both"/>
        <w:ind w:left="640" w:hanging="631"/>
        <w:spacing w:after="0" w:line="247" w:lineRule="auto"/>
        <w:tabs>
          <w:tab w:leader="none" w:pos="62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No monies paid to or for the account of any party under the Documents, the Depositary Shares issuable under the Depositary Agreements, the Warrants issuable under the Warrant Documents, the Purchase Contracts issuable under the Purchase Contract Agreements, the Debt Securities issuable under the Indenture Documents and the Units issuable under the Unit Documents or any property received or disposed of by any party to the Documents, the Depositary Shares issuable under the Depositary Agreements, the Warrants issuable under the Warrant Documents, the Purchase Contracts issuable under the Purchase Contract Agreements, the Debt Securities issuable under the Indenture Documents and the Units issuable under the Unit Documents in each case in connection with the Documents, the Depositary Shares issuable under the Depositary Agreements, the Warrants issuable under the Warrant Documents, the Purchase Contracts issuable under the Purchase Contract Agreements, the Debt Securities issuable under the Indenture Documents and the Units issuable under the Unit Documents or the consummation of the transactions contemplated thereby represent or will represent proceeds of criminal conduct or criminal property or terrorist property (as defined in the Proceeds of Crime Act (As Revised) and the Terrorism Act (As Revised), respectively).</w:t>
      </w: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both"/>
        <w:ind w:left="640" w:hanging="631"/>
        <w:spacing w:after="0" w:line="269" w:lineRule="auto"/>
        <w:tabs>
          <w:tab w:leader="none" w:pos="6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The Debt Securities will be issued and authenticated in accordance with the provisions of a duly authorised, executed and delivered Indenture Document.</w:t>
      </w:r>
    </w:p>
    <w:p>
      <w:pPr>
        <w:spacing w:after="0" w:line="168" w:lineRule="exact"/>
        <w:rPr>
          <w:sz w:val="20"/>
          <w:szCs w:val="20"/>
          <w:color w:val="auto"/>
        </w:rPr>
      </w:pPr>
    </w:p>
    <w:p>
      <w:pPr>
        <w:jc w:val="both"/>
        <w:ind w:left="640" w:hanging="631"/>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color w:val="auto"/>
        </w:rPr>
        <w:t>The Indenture Documents, the Depositary Shares and the Depositary Agreements, the Warrants and the Warrant Documents, the Purchase Contracts and the Purchase Contract Agreements, and the Units and the Unit Documents will be, or have been, duly executed and delivered by an authorised person of the parties thereto.</w:t>
      </w:r>
    </w:p>
    <w:p>
      <w:pPr>
        <w:spacing w:after="0" w:line="181" w:lineRule="exact"/>
        <w:rPr>
          <w:sz w:val="20"/>
          <w:szCs w:val="20"/>
          <w:color w:val="auto"/>
        </w:rPr>
      </w:pPr>
    </w:p>
    <w:p>
      <w:pPr>
        <w:jc w:val="both"/>
        <w:ind w:left="640" w:hanging="631"/>
        <w:spacing w:after="0" w:line="269" w:lineRule="auto"/>
        <w:tabs>
          <w:tab w:leader="none" w:pos="6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The Company will receive money or money's worth in consideration for the issue of the Ordinary Shares and the Preferred Shares and none of the Ordinary Shares or the Preferred Shares will be issued for less than their par value.</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6"/>
          <w:szCs w:val="16"/>
          <w:color w:val="auto"/>
        </w:rPr>
        <w:t>There will be sufficient Ordinary Shares and Preferred Shares authorised for issue under the Memorandum and Articles.</w:t>
      </w:r>
    </w:p>
    <w:p>
      <w:pPr>
        <w:spacing w:after="0" w:line="215" w:lineRule="exact"/>
        <w:rPr>
          <w:sz w:val="20"/>
          <w:szCs w:val="20"/>
          <w:color w:val="auto"/>
        </w:rPr>
      </w:pPr>
    </w:p>
    <w:p>
      <w:pPr>
        <w:jc w:val="both"/>
        <w:ind w:left="640" w:hanging="631"/>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The issue of the Depositary Shares issuable under the Depositary Agreements, the Warrants issuable under the Warrant Documents, the Purchase Contracts issuable under the Purchase Contract Agreements, the Debt Securities issuable under the Indenture Documents, the Units issuable under the Unit Documents, the Ordinary Shares and the Preferred Shares will be of commercial benefit to the Company.</w:t>
      </w:r>
    </w:p>
    <w:p>
      <w:pPr>
        <w:spacing w:after="0" w:line="181" w:lineRule="exact"/>
        <w:rPr>
          <w:sz w:val="20"/>
          <w:szCs w:val="20"/>
          <w:color w:val="auto"/>
        </w:rPr>
      </w:pPr>
    </w:p>
    <w:p>
      <w:pPr>
        <w:jc w:val="both"/>
        <w:ind w:left="640" w:hanging="631"/>
        <w:spacing w:after="0" w:line="252" w:lineRule="auto"/>
        <w:tabs>
          <w:tab w:leader="none" w:pos="62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color w:val="auto"/>
        </w:rPr>
        <w:t>No invitation has been or will be made by or on behalf of the Company to the public in the Cayman Islands to subscribe for any of the Depositary Shares issuable under the Depositary Agreements, the Warrants issuable under the Warrant Documents, the Purchase Contracts issuable under the Purchase Contract Agreements, the Debt Securities issuable under the Indenture Documents, the Units issuable under the Unit Documents, the Ordinary Shares and the Preferred Shares.</w:t>
      </w:r>
    </w:p>
    <w:p>
      <w:pPr>
        <w:spacing w:after="0" w:line="18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6"/>
          <w:szCs w:val="16"/>
          <w:color w:val="auto"/>
        </w:rPr>
        <w:t>There is nothing contained in the minute book or corporate records of the Company (which, other than the records set out in paragraphs 1.1, 1.2 and</w:t>
      </w:r>
    </w:p>
    <w:p>
      <w:pPr>
        <w:spacing w:after="0" w:line="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1.3 of this opinion letter, we have not inspected) which would or might affect the opinions set out below.</w:t>
      </w:r>
    </w:p>
    <w:p>
      <w:pPr>
        <w:spacing w:after="0" w:line="197" w:lineRule="exact"/>
        <w:rPr>
          <w:sz w:val="20"/>
          <w:szCs w:val="20"/>
          <w:color w:val="auto"/>
        </w:rPr>
      </w:pPr>
    </w:p>
    <w:p>
      <w:pPr>
        <w:jc w:val="both"/>
        <w:ind w:left="640" w:hanging="631"/>
        <w:spacing w:after="0" w:line="269" w:lineRule="auto"/>
        <w:tabs>
          <w:tab w:leader="none" w:pos="62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color w:val="auto"/>
        </w:rPr>
        <w:t>There is nothing under any law (other than the laws of the Cayman Islands) which would or might affect the opinions set out below. Specifically, we have made no independent investigation of the Relevant Law.</w:t>
      </w:r>
    </w:p>
    <w:p>
      <w:pPr>
        <w:spacing w:after="0" w:line="168" w:lineRule="exact"/>
        <w:rPr>
          <w:sz w:val="20"/>
          <w:szCs w:val="20"/>
          <w:color w:val="auto"/>
        </w:rPr>
      </w:pPr>
    </w:p>
    <w:p>
      <w:pPr>
        <w:jc w:val="both"/>
        <w:ind w:left="640" w:hanging="631"/>
        <w:spacing w:after="0" w:line="269" w:lineRule="auto"/>
        <w:tabs>
          <w:tab w:leader="none" w:pos="62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The Company will receive money or money's worth in consideration for the issue of the Ordinary Shares and the Preference Shares and none of the Ordinary Shares or the Preferred Shares will be issued for less than their par value.</w:t>
      </w:r>
    </w:p>
    <w:p>
      <w:pPr>
        <w:spacing w:after="0" w:line="16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Save as aforesaid we have not been instructed to undertake and have not undertaken any further enquiry or due diligence in relation to the transaction the subject of this opinion letter.</w:t>
      </w:r>
    </w:p>
    <w:p>
      <w:pPr>
        <w:spacing w:after="0" w:line="166" w:lineRule="exact"/>
        <w:rPr>
          <w:sz w:val="20"/>
          <w:szCs w:val="20"/>
          <w:color w:val="auto"/>
        </w:rPr>
      </w:pPr>
    </w:p>
    <w:p>
      <w:pPr>
        <w:ind w:left="640" w:hanging="635"/>
        <w:spacing w:after="0"/>
        <w:tabs>
          <w:tab w:leader="none" w:pos="6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21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Based upon, and subject to, the foregoing assumptions and the qualifications set out below, and having regard to such legal considerations as we deem relevant, we are of the opinion that:</w:t>
      </w: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both"/>
        <w:ind w:left="640" w:hanging="631"/>
        <w:spacing w:after="0" w:line="269" w:lineRule="auto"/>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Company has been duly incorporated as an exempted company with limited liability and is validly existing and in good standing with the Registrar of Companies under the laws of the Cayman Islands.</w:t>
      </w:r>
    </w:p>
    <w:p>
      <w:pPr>
        <w:spacing w:after="0" w:line="168" w:lineRule="exact"/>
        <w:rPr>
          <w:sz w:val="20"/>
          <w:szCs w:val="20"/>
          <w:color w:val="auto"/>
        </w:rPr>
      </w:pPr>
    </w:p>
    <w:p>
      <w:pPr>
        <w:jc w:val="both"/>
        <w:ind w:left="640" w:hanging="631"/>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Company has all requisite power and authority under the Memorandum and Articles to enter into, execute and perform its obligations under the Indenture Documents to which it will be a party and the Debt Securities issuable under each such Indenture Document to which it is, or will be, a party.</w:t>
      </w:r>
    </w:p>
    <w:p>
      <w:pPr>
        <w:spacing w:after="0" w:line="181" w:lineRule="exact"/>
        <w:rPr>
          <w:sz w:val="20"/>
          <w:szCs w:val="20"/>
          <w:color w:val="auto"/>
        </w:rPr>
      </w:pPr>
    </w:p>
    <w:p>
      <w:pPr>
        <w:jc w:val="both"/>
        <w:ind w:left="640" w:hanging="631"/>
        <w:spacing w:after="0" w:line="289" w:lineRule="auto"/>
        <w:tabs>
          <w:tab w:leader="none" w:pos="6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6"/>
          <w:szCs w:val="16"/>
          <w:color w:val="auto"/>
        </w:rPr>
        <w:t>With respect to the Ordinary Shares and the Preferred Shares, when: (a) the board of directors of the Company has taken all necessary corporate action to approve the issue thereof, the terms of the offering thereof and related matters; (b) the issue of such Ordinary Shares and/or Preferred Shares has been recorded in the Company's register of members (shareholders); and (c) the subscription price of such Ordinary Shares and/or Preferred Shares (being not less than the par value of the Ordinary Shares and/or Preferred Shares) has been fully paid in cash or other consideration approved by the board of directors of the Company, the Ordinary Shares and/or Preferred Shares will be duly authorised, validly issued, fully paid and non-assessable.</w:t>
      </w:r>
    </w:p>
    <w:p>
      <w:pPr>
        <w:spacing w:after="0" w:line="157" w:lineRule="exact"/>
        <w:rPr>
          <w:sz w:val="20"/>
          <w:szCs w:val="20"/>
          <w:color w:val="auto"/>
        </w:rPr>
      </w:pPr>
    </w:p>
    <w:p>
      <w:pPr>
        <w:jc w:val="both"/>
        <w:ind w:left="640" w:hanging="631"/>
        <w:spacing w:after="0" w:line="248" w:lineRule="auto"/>
        <w:tabs>
          <w:tab w:leader="none" w:pos="6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With respect to the Depositary Shares, when (a) the board of directors of the Company has taken all necessary corporate action to approve the creation and terms of the Depositary shares and to approve the issue thereof, the terms of the offering thereof and related matters; (b) a Depositary Agreement relating to the Depositary Shares shall have been duly authorised and validly executed and delivered by the Company and the share Depositary to be named therein; (c) the specific terms of the Depositary Shares have been duly authorized and established in accordance with the Depositary Agreement; and (d) such Depositary Shares have been duly authorized, executed, issued and delivered in accordance with the Depositary Agreement and the applicable underwriting or other agreement against payment therefor, the Depositary Shares will be duly authorised, legal and binding obligations of the Company.</w:t>
      </w:r>
    </w:p>
    <w:p>
      <w:pPr>
        <w:spacing w:after="0" w:line="189" w:lineRule="exact"/>
        <w:rPr>
          <w:sz w:val="20"/>
          <w:szCs w:val="20"/>
          <w:color w:val="auto"/>
        </w:rPr>
      </w:pPr>
    </w:p>
    <w:p>
      <w:pPr>
        <w:jc w:val="both"/>
        <w:ind w:left="640" w:hanging="631"/>
        <w:spacing w:after="0" w:line="248" w:lineRule="auto"/>
        <w:tabs>
          <w:tab w:leader="none" w:pos="6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With respect to the Warrants, when: (a) the board of directors of the Company has taken all necessary corporate action to approve the creation and terms of the Warrants and to approve the issue thereof, the terms of the offering thereof and related matters; (b) a Warrant Agreement relating to the Warrants shall have been duly authorised and validly executed and delivered by the Company and the financial institution designated as warrant agent thereunder; and (c) the Warrant Certificates have been duly executed, countersigned, registered and delivered in accordance with the Warrant Agreement relating to the Warrants and the applicable definitive purchase, underwriting or similar agreement approved by the board of directors of the Company upon payment of the consideration therefor provided therein, the Warrants will be duly authorised, legal and binding obligations of the Company.</w:t>
      </w:r>
    </w:p>
    <w:p>
      <w:pPr>
        <w:spacing w:after="0" w:line="189" w:lineRule="exact"/>
        <w:rPr>
          <w:sz w:val="20"/>
          <w:szCs w:val="20"/>
          <w:color w:val="auto"/>
        </w:rPr>
      </w:pPr>
    </w:p>
    <w:p>
      <w:pPr>
        <w:jc w:val="both"/>
        <w:ind w:left="640" w:hanging="631"/>
        <w:spacing w:after="0" w:line="249" w:lineRule="auto"/>
        <w:tabs>
          <w:tab w:leader="none" w:pos="6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With respect to each issue of Debt Securities pursuant to the relevant Indenture Document, when: (a) the board of directors of the Company has taken all necessary corporate action to approve the issue thereof, the terms of the offering thereof and related matters; and (b) such Debt Securities issued thereunder have been duly executed and delivered on behalf of the Company and authenticated in the manner set forth in the relevant Indenture Document relating to such issue of Debt Securities and delivered against due payment therefor pursuant to, and in accordance with, the terms of the Registration Statement and any relevant prospectus supplement, such Debt Securities issued pursuant to the relevant Indenture Document will have been duly executed, issued and delivered.</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both"/>
        <w:ind w:left="640" w:hanging="631"/>
        <w:spacing w:after="0" w:line="249" w:lineRule="auto"/>
        <w:tabs>
          <w:tab w:leader="none" w:pos="62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With respect to the Purchase Contracts, when: (a) the board of directors of the Company has taken all necessary corporate action to approve the creation and terms of the Purchase Contracts and to approve the issue thereof, the terms of the offering thereof and related matters; (b) a Purchase Contract Agreement shall have been duly authorised and validly executed and delivered by the Company; and (c) the Purchase Contract Agreements have been duly executed, countersigned, registered and delivered in accordance with the applicable Purchase Contract Agreement and the applicable definitive purchase, underwriting or similar agreement approved by the board of directors of the Company upon payment of the consideration therefor provided therein, the Purchase Contracts will be duly authorised, legal and binding obligations of the Company.</w:t>
      </w:r>
    </w:p>
    <w:p>
      <w:pPr>
        <w:spacing w:after="0" w:line="187" w:lineRule="exact"/>
        <w:rPr>
          <w:sz w:val="20"/>
          <w:szCs w:val="20"/>
          <w:color w:val="auto"/>
        </w:rPr>
      </w:pPr>
    </w:p>
    <w:p>
      <w:pPr>
        <w:jc w:val="both"/>
        <w:ind w:left="640" w:hanging="631"/>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6"/>
          <w:szCs w:val="16"/>
          <w:color w:val="auto"/>
        </w:rPr>
        <w:t>With respect to the Units, when: (a) the board of directors of the Company has taken all necessary corporate action to approve the creation and terms of the Units and to approve the issue thereof, the terms of the offering thereof and related matters; (b) a Unit Agreement relating to the Units shall have been duly authorised and validly executed and delivered by the Company and the financial institution designated as unit agent thereunder; and</w:t>
      </w:r>
    </w:p>
    <w:p>
      <w:pPr>
        <w:spacing w:after="0" w:line="1" w:lineRule="exact"/>
        <w:rPr>
          <w:sz w:val="20"/>
          <w:szCs w:val="20"/>
          <w:color w:val="auto"/>
        </w:rPr>
      </w:pPr>
    </w:p>
    <w:p>
      <w:pPr>
        <w:jc w:val="both"/>
        <w:ind w:left="640" w:hanging="2"/>
        <w:spacing w:after="0" w:line="246" w:lineRule="auto"/>
        <w:tabs>
          <w:tab w:leader="none" w:pos="87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Units Certificates have been duly executed, countersigned, registered and delivered in accordance with the Unit Agreement relating to the Units and the applicable definitive purchase, underwriting or similar agreement approved by the board of directors of the Company upon payment of the consideration therefor provided therein, the Units will be duly authorised, legal and binding obligations of the Company.</w:t>
      </w:r>
    </w:p>
    <w:p>
      <w:pPr>
        <w:spacing w:after="0" w:line="187" w:lineRule="exact"/>
        <w:rPr>
          <w:sz w:val="20"/>
          <w:szCs w:val="20"/>
          <w:color w:val="auto"/>
        </w:rPr>
      </w:pPr>
    </w:p>
    <w:p>
      <w:pPr>
        <w:ind w:left="640" w:hanging="635"/>
        <w:spacing w:after="0"/>
        <w:tabs>
          <w:tab w:leader="none" w:pos="6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expressed above are subject to the following qualifications:</w:t>
      </w:r>
    </w:p>
    <w:p>
      <w:pPr>
        <w:spacing w:after="0" w:line="215" w:lineRule="exact"/>
        <w:rPr>
          <w:sz w:val="20"/>
          <w:szCs w:val="20"/>
          <w:color w:val="auto"/>
        </w:rPr>
      </w:pPr>
    </w:p>
    <w:p>
      <w:pPr>
        <w:ind w:left="640" w:hanging="631"/>
        <w:spacing w:after="0" w:line="269" w:lineRule="auto"/>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obligations assumed by the Company under the Documents or the relevant Securities will not necessarily be enforceable in all circumstances in accordance with their terms. In particular:</w:t>
      </w:r>
    </w:p>
    <w:p>
      <w:pPr>
        <w:spacing w:after="0" w:line="168" w:lineRule="exact"/>
        <w:rPr>
          <w:sz w:val="20"/>
          <w:szCs w:val="20"/>
          <w:color w:val="auto"/>
        </w:rPr>
      </w:pPr>
    </w:p>
    <w:p>
      <w:pPr>
        <w:ind w:left="1280" w:right="20" w:hanging="642"/>
        <w:spacing w:after="0" w:line="269" w:lineRule="auto"/>
        <w:tabs>
          <w:tab w:leader="none" w:pos="1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may be limited by bankruptcy, insolvency, liquidation, reorganisation, readjustment of debts or moratorium or other laws of general application relating to protecting or affecting the rights of creditors and/or contributories;</w:t>
      </w:r>
    </w:p>
    <w:p>
      <w:pPr>
        <w:spacing w:after="0" w:line="168" w:lineRule="exact"/>
        <w:rPr>
          <w:rFonts w:ascii="Times New Roman" w:cs="Times New Roman" w:eastAsia="Times New Roman" w:hAnsi="Times New Roman"/>
          <w:sz w:val="18"/>
          <w:szCs w:val="18"/>
          <w:color w:val="auto"/>
        </w:rPr>
      </w:pPr>
    </w:p>
    <w:p>
      <w:pPr>
        <w:ind w:left="1280" w:hanging="642"/>
        <w:spacing w:after="0" w:line="269" w:lineRule="auto"/>
        <w:tabs>
          <w:tab w:leader="none" w:pos="1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enforcement may be limited by general principles of equity. For example, equitable remedies such as specific performance may not be available,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where damages are considered to be an adequate remedy;</w:t>
      </w:r>
    </w:p>
    <w:p>
      <w:pPr>
        <w:spacing w:after="0" w:line="168" w:lineRule="exact"/>
        <w:rPr>
          <w:rFonts w:ascii="Times New Roman" w:cs="Times New Roman" w:eastAsia="Times New Roman" w:hAnsi="Times New Roman"/>
          <w:sz w:val="18"/>
          <w:szCs w:val="18"/>
          <w:color w:val="auto"/>
        </w:rPr>
      </w:pPr>
    </w:p>
    <w:p>
      <w:pPr>
        <w:ind w:left="1280" w:hanging="642"/>
        <w:spacing w:after="0" w:line="269" w:lineRule="auto"/>
        <w:tabs>
          <w:tab w:leader="none" w:pos="1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claims may become barred under relevant statutes of limitation or may be or become subject to defences of set off, counterclaim, estoppel and similar defences;</w:t>
      </w:r>
    </w:p>
    <w:p>
      <w:pPr>
        <w:spacing w:after="0" w:line="168" w:lineRule="exact"/>
        <w:rPr>
          <w:rFonts w:ascii="Times New Roman" w:cs="Times New Roman" w:eastAsia="Times New Roman" w:hAnsi="Times New Roman"/>
          <w:sz w:val="18"/>
          <w:szCs w:val="18"/>
          <w:color w:val="auto"/>
        </w:rPr>
      </w:pPr>
    </w:p>
    <w:p>
      <w:pPr>
        <w:ind w:left="1280" w:hanging="642"/>
        <w:spacing w:after="0" w:line="269" w:lineRule="auto"/>
        <w:tabs>
          <w:tab w:leader="none" w:pos="1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obligations are to be performed in a jurisdiction outside the Cayman Islands, they may not be enforceable in the Cayman Islands to the extent that performance would be illegal under the laws of that jurisdiction;</w:t>
      </w:r>
    </w:p>
    <w:p>
      <w:pPr>
        <w:spacing w:after="0" w:line="168" w:lineRule="exact"/>
        <w:rPr>
          <w:rFonts w:ascii="Times New Roman" w:cs="Times New Roman" w:eastAsia="Times New Roman" w:hAnsi="Times New Roman"/>
          <w:sz w:val="18"/>
          <w:szCs w:val="18"/>
          <w:color w:val="auto"/>
        </w:rPr>
      </w:pPr>
    </w:p>
    <w:p>
      <w:pPr>
        <w:ind w:left="1280" w:hanging="642"/>
        <w:spacing w:after="0" w:line="269" w:lineRule="auto"/>
        <w:tabs>
          <w:tab w:leader="none" w:pos="1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claims may become barred under relevant statutes of limitation or may be or become subject to defences of set off, counterclaim, estoppel and similar defences;</w:t>
      </w:r>
    </w:p>
    <w:p>
      <w:pPr>
        <w:spacing w:after="0" w:line="168" w:lineRule="exact"/>
        <w:rPr>
          <w:rFonts w:ascii="Times New Roman" w:cs="Times New Roman" w:eastAsia="Times New Roman" w:hAnsi="Times New Roman"/>
          <w:sz w:val="18"/>
          <w:szCs w:val="18"/>
          <w:color w:val="auto"/>
        </w:rPr>
      </w:pPr>
    </w:p>
    <w:p>
      <w:pPr>
        <w:jc w:val="both"/>
        <w:ind w:left="1280" w:hanging="642"/>
        <w:spacing w:after="0" w:line="250" w:lineRule="auto"/>
        <w:tabs>
          <w:tab w:leader="none" w:pos="1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of the Cayman Islands have jurisdiction to give judgment in the currency of the relevant obligation and statutory rates of interest payable upon judgments will vary according to the currency of the judgment. If the Company becomes insolvent and is made subject to a liquidation proceeding, the courts of the Cayman Islands will require all debts to be proved in a common currency, which is likely to be the "functional currency" of the Company determined in accordance with applicable accounting principles. Currency indemnity provisions have not been tested, so far as we are aware, in the courts of the Cayman Islands;</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1280" w:hanging="642"/>
        <w:spacing w:after="0"/>
        <w:tabs>
          <w:tab w:leader="none" w:pos="1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that constitute penalties will not be enforceable;</w:t>
      </w:r>
    </w:p>
    <w:p>
      <w:pPr>
        <w:spacing w:after="0" w:line="214" w:lineRule="exact"/>
        <w:rPr>
          <w:rFonts w:ascii="Times New Roman" w:cs="Times New Roman" w:eastAsia="Times New Roman" w:hAnsi="Times New Roman"/>
          <w:sz w:val="18"/>
          <w:szCs w:val="18"/>
          <w:color w:val="auto"/>
        </w:rPr>
      </w:pPr>
    </w:p>
    <w:p>
      <w:pPr>
        <w:ind w:left="1280" w:hanging="642"/>
        <w:spacing w:after="0" w:line="269" w:lineRule="auto"/>
        <w:tabs>
          <w:tab w:leader="none" w:pos="1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may be prevented by reason of fraud, coercion, duress, undue influence, misrepresentation, public policy or mistake or limited by the doctrine of frustration of contracts;</w:t>
      </w:r>
    </w:p>
    <w:p>
      <w:pPr>
        <w:spacing w:after="0" w:line="168" w:lineRule="exact"/>
        <w:rPr>
          <w:rFonts w:ascii="Times New Roman" w:cs="Times New Roman" w:eastAsia="Times New Roman" w:hAnsi="Times New Roman"/>
          <w:sz w:val="18"/>
          <w:szCs w:val="18"/>
          <w:color w:val="auto"/>
        </w:rPr>
      </w:pPr>
    </w:p>
    <w:p>
      <w:pPr>
        <w:ind w:left="1280" w:hanging="642"/>
        <w:spacing w:after="0" w:line="269" w:lineRule="auto"/>
        <w:tabs>
          <w:tab w:leader="none" w:pos="1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imposing confidentiality obligations may be overridden by compulsion of applicable law or the requirements of legal and/or regulatory process;</w:t>
      </w:r>
    </w:p>
    <w:p>
      <w:pPr>
        <w:spacing w:after="0" w:line="168" w:lineRule="exact"/>
        <w:rPr>
          <w:rFonts w:ascii="Times New Roman" w:cs="Times New Roman" w:eastAsia="Times New Roman" w:hAnsi="Times New Roman"/>
          <w:sz w:val="18"/>
          <w:szCs w:val="18"/>
          <w:color w:val="auto"/>
        </w:rPr>
      </w:pPr>
    </w:p>
    <w:p>
      <w:pPr>
        <w:ind w:left="1280" w:hanging="642"/>
        <w:spacing w:after="0" w:line="269" w:lineRule="auto"/>
        <w:tabs>
          <w:tab w:leader="none" w:pos="1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of the Cayman Islands may decline to exercise jurisdiction in relation to substantive proceedings brought under or in relation to the Documents in matters where they determine that such proceedings may be tried in a more appropriate forum;</w:t>
      </w:r>
    </w:p>
    <w:p>
      <w:pPr>
        <w:spacing w:after="0" w:line="168" w:lineRule="exact"/>
        <w:rPr>
          <w:rFonts w:ascii="Times New Roman" w:cs="Times New Roman" w:eastAsia="Times New Roman" w:hAnsi="Times New Roman"/>
          <w:sz w:val="18"/>
          <w:szCs w:val="18"/>
          <w:color w:val="auto"/>
        </w:rPr>
      </w:pPr>
    </w:p>
    <w:p>
      <w:pPr>
        <w:jc w:val="both"/>
        <w:ind w:left="1280" w:hanging="642"/>
        <w:spacing w:after="0" w:line="250" w:lineRule="auto"/>
        <w:tabs>
          <w:tab w:leader="none" w:pos="1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in a Document which is governed by Cayman Islands law purporting to impose obligations on a person who is not a party to such Document (a "</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is unenforceable against that third party. Any provision in a Document which is governed by Cayman Islands law purporting to grant rights to a third party is unenforceable by that third party, except to the extent that such Document expressly provides that the third party may, in its own right, enforce such rights (subject to and in accordance with the Contracts (Rights of Third Parties) Act (As Revised));</w:t>
      </w:r>
    </w:p>
    <w:p>
      <w:pPr>
        <w:spacing w:after="0" w:line="186" w:lineRule="exact"/>
        <w:rPr>
          <w:rFonts w:ascii="Times New Roman" w:cs="Times New Roman" w:eastAsia="Times New Roman" w:hAnsi="Times New Roman"/>
          <w:sz w:val="18"/>
          <w:szCs w:val="18"/>
          <w:color w:val="auto"/>
        </w:rPr>
      </w:pPr>
    </w:p>
    <w:p>
      <w:pPr>
        <w:ind w:left="1280" w:hanging="642"/>
        <w:spacing w:after="0" w:line="269" w:lineRule="auto"/>
        <w:tabs>
          <w:tab w:leader="none" w:pos="1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a Document which is governed by Cayman Islands law which expresses any matter to be determined by future agreement may be void or unenforceable;</w:t>
      </w:r>
    </w:p>
    <w:p>
      <w:pPr>
        <w:spacing w:after="0" w:line="168" w:lineRule="exact"/>
        <w:rPr>
          <w:rFonts w:ascii="Times New Roman" w:cs="Times New Roman" w:eastAsia="Times New Roman" w:hAnsi="Times New Roman"/>
          <w:sz w:val="18"/>
          <w:szCs w:val="18"/>
          <w:color w:val="auto"/>
        </w:rPr>
      </w:pPr>
    </w:p>
    <w:p>
      <w:pPr>
        <w:jc w:val="both"/>
        <w:ind w:left="1280" w:hanging="642"/>
        <w:spacing w:after="0" w:line="256" w:lineRule="auto"/>
        <w:tabs>
          <w:tab w:leader="none" w:pos="1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reserve our opinion as to the enforceability of the relevant provisions of the Documents to the extent that they purport to grant exclusive jurisdiction as there may be circumstances in which the courts of the Cayman Islands would accept jurisdiction notwithstanding such provisions;</w:t>
      </w:r>
    </w:p>
    <w:p>
      <w:pPr>
        <w:spacing w:after="0" w:line="180" w:lineRule="exact"/>
        <w:rPr>
          <w:rFonts w:ascii="Times New Roman" w:cs="Times New Roman" w:eastAsia="Times New Roman" w:hAnsi="Times New Roman"/>
          <w:sz w:val="18"/>
          <w:szCs w:val="18"/>
          <w:color w:val="auto"/>
        </w:rPr>
      </w:pPr>
    </w:p>
    <w:p>
      <w:pPr>
        <w:jc w:val="both"/>
        <w:ind w:left="1280" w:hanging="642"/>
        <w:spacing w:after="0" w:line="250" w:lineRule="auto"/>
        <w:tabs>
          <w:tab w:leader="none" w:pos="1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cannot, by agreement or in its articles of association, restrict the exercise of a statutory power and there is doubt as to the enforceability of any provision in the Documents whereby the Company covenants to restrict the exercise of powers specifically given to it under the Companies Act (As Revised)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including, without limitation, the power to increase its authorised share capital, amend its memorandum and articles of association or present a petition to a Cayman Islands court for an order to wind up the Company;</w:t>
      </w:r>
    </w:p>
    <w:p>
      <w:pPr>
        <w:spacing w:after="0" w:line="186" w:lineRule="exact"/>
        <w:rPr>
          <w:rFonts w:ascii="Times New Roman" w:cs="Times New Roman" w:eastAsia="Times New Roman" w:hAnsi="Times New Roman"/>
          <w:sz w:val="18"/>
          <w:szCs w:val="18"/>
          <w:color w:val="auto"/>
        </w:rPr>
      </w:pPr>
    </w:p>
    <w:p>
      <w:pPr>
        <w:jc w:val="both"/>
        <w:ind w:left="1280" w:hanging="642"/>
        <w:spacing w:after="0" w:line="252" w:lineRule="auto"/>
        <w:tabs>
          <w:tab w:leader="none" w:pos="1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or performance of any provision in the Documents which relates, directly or indirectly, to an interest in the Company constituting shares, voting rights or ultimate effective control over management in the Company may be prohibited or restricted if any such relevant interest is or becomes subject to a restrictions notice issued under the Beneficial Ownership Transparency Act (As Revised) ("</w:t>
      </w:r>
      <w:r>
        <w:rPr>
          <w:rFonts w:ascii="Times New Roman" w:cs="Times New Roman" w:eastAsia="Times New Roman" w:hAnsi="Times New Roman"/>
          <w:sz w:val="18"/>
          <w:szCs w:val="18"/>
          <w:b w:val="1"/>
          <w:bCs w:val="1"/>
          <w:color w:val="auto"/>
        </w:rPr>
        <w:t>BOT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40" w:hanging="631"/>
        <w:spacing w:after="0" w:line="269" w:lineRule="auto"/>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To maintain the Company in good standing with the Registrar of Companies under the laws of the Cayman Islands, annual filing fees must be paid and returns made to the Registrar of Companies within the time frame prescribed by law.</w:t>
      </w: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both"/>
        <w:ind w:left="640" w:hanging="631"/>
        <w:spacing w:after="0" w:line="269" w:lineRule="auto"/>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We express no opinion as to the meaning, validity or effect of any references to foreign (i.e. non-Cayman Islands) statutes, rules, regulations, codes, judicial authority or any other promulgations and any references to them in the Documents or the relevant Securities issuable thereunder.</w:t>
      </w:r>
    </w:p>
    <w:p>
      <w:pPr>
        <w:spacing w:after="0" w:line="168" w:lineRule="exact"/>
        <w:rPr>
          <w:sz w:val="20"/>
          <w:szCs w:val="20"/>
          <w:color w:val="auto"/>
        </w:rPr>
      </w:pPr>
    </w:p>
    <w:p>
      <w:pPr>
        <w:jc w:val="both"/>
        <w:ind w:left="640" w:hanging="631"/>
        <w:spacing w:after="0" w:line="332" w:lineRule="auto"/>
        <w:tabs>
          <w:tab w:leader="none" w:pos="6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6"/>
          <w:szCs w:val="16"/>
          <w:color w:val="auto"/>
        </w:rPr>
        <w:t>We have not reviewed the final forms of the Indenture Documents, the Debt Securities to be issued thereunder, the Warrant Documents or the Warrants to be issued thereunder, the Purchase Contracts, the Unit Documents or the Units to be issued thereunder, and our opinions are qualified accordingly.</w:t>
      </w:r>
    </w:p>
    <w:p>
      <w:pPr>
        <w:spacing w:after="0" w:line="123" w:lineRule="exact"/>
        <w:rPr>
          <w:sz w:val="20"/>
          <w:szCs w:val="20"/>
          <w:color w:val="auto"/>
        </w:rPr>
      </w:pPr>
    </w:p>
    <w:p>
      <w:pPr>
        <w:jc w:val="both"/>
        <w:ind w:left="640" w:hanging="631"/>
        <w:spacing w:after="0" w:line="248" w:lineRule="auto"/>
        <w:tabs>
          <w:tab w:leader="none" w:pos="6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We reserve our opinion as to the extent to which the courts of the Cayman Islands would, in the event of any relevant illegality or invalidity, sever the relevant provisions of the Indenture Documents, the Depositary Shares, the Depositary Agreements, the Debt Securities, the Warrant Documents, the Warrants, the Purchase Contracts, the Purchase Contract Agreements, the Unit Documents or the Units and enforce the remainder of the Indenture Documents, the Depositary Shares, the Depositary Agreements, the Debt Securities, the Warrant Documents, the Warrants, the Purchase Contracts, the Purchase Contract Agreements, the Unit Documents or the Units or the transaction of which such provisions form a part, notwithstanding any express provisions in the Indenture Documents, the Depositary Shares, the Depositary Agreements, the Debt Securities, the Warrant Documents, the Warrants, the Purchase Contracts, the Purchase Contract Agreements, the Unit Documents or the Units in this regard.</w:t>
      </w:r>
    </w:p>
    <w:p>
      <w:pPr>
        <w:spacing w:after="0" w:line="187" w:lineRule="exact"/>
        <w:rPr>
          <w:sz w:val="20"/>
          <w:szCs w:val="20"/>
          <w:color w:val="auto"/>
        </w:rPr>
      </w:pPr>
    </w:p>
    <w:p>
      <w:pPr>
        <w:jc w:val="both"/>
        <w:ind w:left="640" w:hanging="631"/>
        <w:spacing w:after="0" w:line="248" w:lineRule="auto"/>
        <w:tabs>
          <w:tab w:leader="none" w:pos="6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 xml:space="preserve">Under Cayman Islands law, the register of members (shareholders)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title to shares and this register would not record a third party interest in such shares.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As far as we are aware, such applications are rarely made in the Cayman Islands and for the purposes of the opinion given in paragraph 3.2, there are no circumstances or matters of fact known to us on the date of this opinion letter which would properly form the basis for an application for an order for rectification of the register of members of the Company, but if such an application were made in respect of the Shares, then the validity of such shares may be subject to re-examination by a Cayman Islands court.</w:t>
      </w:r>
    </w:p>
    <w:p>
      <w:pPr>
        <w:spacing w:after="0" w:line="188" w:lineRule="exact"/>
        <w:rPr>
          <w:sz w:val="20"/>
          <w:szCs w:val="20"/>
          <w:color w:val="auto"/>
        </w:rPr>
      </w:pPr>
    </w:p>
    <w:p>
      <w:pPr>
        <w:jc w:val="both"/>
        <w:ind w:left="640" w:hanging="631"/>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Except as specifically stated herein, we make no comment with respect to any representations and warranties which may be made by or with respect to the Company in any of the documents or instruments cited in this opinion letter or otherwise with respect to the commercial terms of the transactions the subject of this opinion letter.</w:t>
      </w:r>
    </w:p>
    <w:p>
      <w:pPr>
        <w:spacing w:after="0" w:line="181" w:lineRule="exact"/>
        <w:rPr>
          <w:sz w:val="20"/>
          <w:szCs w:val="20"/>
          <w:color w:val="auto"/>
        </w:rPr>
      </w:pPr>
    </w:p>
    <w:p>
      <w:pPr>
        <w:jc w:val="both"/>
        <w:ind w:left="640" w:hanging="631"/>
        <w:spacing w:after="0" w:line="250" w:lineRule="auto"/>
        <w:tabs>
          <w:tab w:leader="none" w:pos="62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In this opinion letter the phrase "non-assessable" means, with respect to the issuance of shares, that a shareholder shall not, in respect of the relevant shares and in the absence of a contractual arrangement, or an obligation pursuant to the memorandum and articles of association, to the contrary,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the references to our firm under the headings "Legal Matters" in the prospectus included in the Registration Statement. In providing our consent, we do not thereby admit that we are in the category of persons whose consent is required under section 7 of the Act or the Rules and Regulations of the Commission thereunder.</w:t>
      </w:r>
    </w:p>
    <w:p>
      <w:pPr>
        <w:spacing w:after="0" w:line="335" w:lineRule="exact"/>
        <w:rPr>
          <w:sz w:val="20"/>
          <w:szCs w:val="20"/>
          <w:color w:val="auto"/>
        </w:rPr>
      </w:pPr>
    </w:p>
    <w:p>
      <w:pPr>
        <w:ind w:left="1118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3549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both"/>
        <w:spacing w:after="0" w:line="269" w:lineRule="auto"/>
        <w:rPr>
          <w:sz w:val="20"/>
          <w:szCs w:val="20"/>
          <w:color w:val="auto"/>
        </w:rPr>
      </w:pPr>
      <w:r>
        <w:rPr>
          <w:rFonts w:ascii="Times New Roman" w:cs="Times New Roman" w:eastAsia="Times New Roman" w:hAnsi="Times New Roman"/>
          <w:sz w:val="18"/>
          <w:szCs w:val="18"/>
          <w:color w:val="auto"/>
        </w:rPr>
        <w:t>We express no view as to the commercial terms of the Documents or the relevant Securities issuable thereunder or whether such terms represent the intentions of the parties and make no comment with regard to warranties or representations that may be made by the Company.</w:t>
      </w:r>
    </w:p>
    <w:p>
      <w:pPr>
        <w:spacing w:after="0" w:line="16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We express no opinion with respect to any direct or indirect acquisition, disposal or exercise of rights by the Company of or in respect of any interest in any property governed by the laws of or situated in the Cayman Islands.</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opinions in this opinion letter are strictly limited to the matters contained in the opinions section above and do not extend to any other matters. We have not been asked to review and we therefore have not reviewed any of the ancillary documents relating to the Documents or the relevant Securities issuable thereunder and express no opinion or observation upon the terms of any such document.</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This opinion letter is addressed to you and may be relied upon by you, your counsel and purchasers of Securities pursuant to the Registration Statement. This opinion letter is limited to the matters detailed herein and is not to be read as an opinion with respect to any other matter.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(Cayman) LLP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(Cayman) LLP</w:t>
      </w: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color w:val="auto"/>
        </w:rPr>
        <w:t>FTAI Aviation Ltd.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PO Box 309, Ugland House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Grand Cayman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KY1-1104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Cayman Islands</w:t>
      </w:r>
    </w:p>
    <w:p>
      <w:pPr>
        <w:sectPr>
          <w:pgSz w:w="11900" w:h="16838" w:orient="portrait"/>
          <w:cols w:equalWidth="0" w:num="1">
            <w:col w:w="11240"/>
          </w:cols>
          <w:pgMar w:left="320" w:top="121" w:right="339" w:bottom="1440" w:gutter="0" w:footer="0" w:header="0"/>
        </w:sectPr>
      </w:pP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Maples and Calder (Cayman) LLP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309, Ugland House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KY1-1104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197" w:lineRule="exact"/>
        <w:rPr>
          <w:sz w:val="20"/>
          <w:szCs w:val="20"/>
          <w:color w:val="auto"/>
        </w:rPr>
      </w:pPr>
    </w:p>
    <w:p>
      <w:pPr>
        <w:sectPr>
          <w:pgSz w:w="11900" w:h="16838" w:orient="portrait"/>
          <w:cols w:equalWidth="0" w:num="2">
            <w:col w:w="240" w:space="400"/>
            <w:col w:w="106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 May 2026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FTAI Aviation Ltd.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the undersigned, being a director of the Company, am aware that you are being asked to provide an opinion letter (the "</w:t>
      </w:r>
      <w:r>
        <w:rPr>
          <w:rFonts w:ascii="Times New Roman" w:cs="Times New Roman" w:eastAsia="Times New Roman" w:hAnsi="Times New Roman"/>
          <w:sz w:val="18"/>
          <w:szCs w:val="18"/>
          <w:b w:val="1"/>
          <w:bCs w:val="1"/>
          <w:color w:val="auto"/>
        </w:rPr>
        <w:t>Opinion</w:t>
      </w:r>
      <w:r>
        <w:rPr>
          <w:rFonts w:ascii="Times New Roman" w:cs="Times New Roman" w:eastAsia="Times New Roman" w:hAnsi="Times New Roman"/>
          <w:sz w:val="18"/>
          <w:szCs w:val="18"/>
          <w:color w:val="auto"/>
        </w:rPr>
        <w:t>") in relation to certain aspects of Cayman Islands law. Unless otherwise defined herein, capitalised terms used in this certificate have the respective meanings given to them in the Opinion. I hereby certify that:</w:t>
      </w:r>
    </w:p>
    <w:p>
      <w:pPr>
        <w:spacing w:after="0" w:line="178" w:lineRule="exact"/>
        <w:rPr>
          <w:sz w:val="20"/>
          <w:szCs w:val="20"/>
          <w:color w:val="auto"/>
        </w:rPr>
      </w:pPr>
    </w:p>
    <w:p>
      <w:pPr>
        <w:ind w:left="640" w:hanging="635"/>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Articles remain in full force and effect and are unamended.</w:t>
      </w:r>
    </w:p>
    <w:p>
      <w:pPr>
        <w:spacing w:after="0" w:line="215" w:lineRule="exact"/>
        <w:rPr>
          <w:sz w:val="20"/>
          <w:szCs w:val="20"/>
          <w:color w:val="auto"/>
        </w:rPr>
      </w:pPr>
    </w:p>
    <w:p>
      <w:pPr>
        <w:ind w:left="640" w:hanging="635"/>
        <w:spacing w:after="0" w:line="269"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entered into any mortgages or charges over its property or assets other than those entered in the register of mortgages and charges of the Company.</w:t>
      </w:r>
    </w:p>
    <w:p>
      <w:pPr>
        <w:spacing w:after="0" w:line="168" w:lineRule="exact"/>
        <w:rPr>
          <w:sz w:val="20"/>
          <w:szCs w:val="20"/>
          <w:color w:val="auto"/>
        </w:rPr>
      </w:pPr>
    </w:p>
    <w:p>
      <w:pPr>
        <w:ind w:left="640" w:hanging="635"/>
        <w:spacing w:after="0" w:line="269" w:lineRule="auto"/>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were duly passed in the manner prescribed in the Memorandum and Articles (including, without limitation, with respect to the disclosure of interests (if any) by directors of the Company) and have not been amended, varied or revoked in any respect.</w:t>
      </w:r>
    </w:p>
    <w:p>
      <w:pPr>
        <w:spacing w:after="0" w:line="166" w:lineRule="exact"/>
        <w:rPr>
          <w:sz w:val="20"/>
          <w:szCs w:val="20"/>
          <w:color w:val="auto"/>
        </w:rPr>
      </w:pPr>
    </w:p>
    <w:p>
      <w:pPr>
        <w:ind w:left="640" w:hanging="635"/>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Company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have not restricted the powers of the directors of the Company in any way.</w:t>
      </w:r>
    </w:p>
    <w:p>
      <w:pPr>
        <w:spacing w:after="0" w:line="217" w:lineRule="exact"/>
        <w:rPr>
          <w:sz w:val="20"/>
          <w:szCs w:val="20"/>
          <w:color w:val="auto"/>
        </w:rPr>
      </w:pPr>
    </w:p>
    <w:p>
      <w:pPr>
        <w:ind w:left="640" w:hanging="635"/>
        <w:spacing w:after="0" w:line="269"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at the date of the Resolutions and at the date of this certificate were and are as follows: Joseph P. Adams, Jr, Paul R. Goodwin, Judith A. Hannaway, A. Andrew Levison Ray M. Robinson, Martin Tuchman and Shyam Gidumal.</w:t>
      </w:r>
    </w:p>
    <w:p>
      <w:pPr>
        <w:spacing w:after="0" w:line="168" w:lineRule="exact"/>
        <w:rPr>
          <w:sz w:val="20"/>
          <w:szCs w:val="20"/>
          <w:color w:val="auto"/>
        </w:rPr>
      </w:pPr>
    </w:p>
    <w:p>
      <w:pPr>
        <w:jc w:val="both"/>
        <w:ind w:left="640" w:hanging="635"/>
        <w:spacing w:after="0" w:line="252" w:lineRule="auto"/>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minute book and corporate records of the Company as maintained at its registered office in the Cayman Islands and made available to you are complete and accurate in all material respects, and all minutes and resolutions filed therein represent a complete and accurate record of all meetings of the Shareholders and directors (or any committee thereof) of the Company (duly convened in accordance with the Memorandum and Articles) and all resolutions passed at the meetings or passed by written resolution or consent,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713549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3" w:name="page64"/>
    <w:bookmarkEnd w:id="63"/>
    <w:p>
      <w:pPr>
        <w:jc w:val="both"/>
        <w:ind w:left="640" w:hanging="635"/>
        <w:spacing w:after="0" w:line="303" w:lineRule="auto"/>
        <w:tabs>
          <w:tab w:leader="none" w:pos="64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at the time of, and immediately following the approval of the transactions contemplated by the Registration Statement, the Company was, or will be, able to pay its debts as they fell, or fall, due and has entered, or will enter, into the transactions contemplated by the Registration Statement for proper value and not with an intention to defraud or wilfully defeat an obligation owed to any creditor or with a view to giving a creditor a preference.</w:t>
      </w:r>
    </w:p>
    <w:p>
      <w:pPr>
        <w:spacing w:after="0" w:line="146" w:lineRule="exact"/>
        <w:rPr>
          <w:sz w:val="20"/>
          <w:szCs w:val="20"/>
          <w:color w:val="auto"/>
        </w:rPr>
      </w:pPr>
    </w:p>
    <w:p>
      <w:pPr>
        <w:jc w:val="both"/>
        <w:ind w:left="640" w:hanging="635"/>
        <w:spacing w:after="0" w:line="256"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of the Company considers the transactions contemplated by the Registration Statement to be of commercial benefit to the Company and has acted in good faith in the best interests of the Company, and for a proper purpose of the Company, in relation to the transactions which are the subject of the Opinion.</w:t>
      </w:r>
    </w:p>
    <w:p>
      <w:pPr>
        <w:spacing w:after="0" w:line="181" w:lineRule="exact"/>
        <w:rPr>
          <w:sz w:val="20"/>
          <w:szCs w:val="20"/>
          <w:color w:val="auto"/>
        </w:rPr>
      </w:pPr>
    </w:p>
    <w:p>
      <w:pPr>
        <w:jc w:val="both"/>
        <w:ind w:left="640" w:hanging="635"/>
        <w:spacing w:after="0" w:line="252"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Debt Securities have been duly authorised by the Company and when the Debt Securities are signed in facsimile or manually by a director or officer of the Company on behalf of the Company and, if appropriate, authenticated in the manner set forth in a duly authorised, executed and delivered Indenture and delivered against due payment therefor, the Debt Securities will be valid, binding and enforceable obligations of the Company.</w:t>
      </w:r>
    </w:p>
    <w:p>
      <w:pPr>
        <w:spacing w:after="0" w:line="185" w:lineRule="exact"/>
        <w:rPr>
          <w:sz w:val="20"/>
          <w:szCs w:val="20"/>
          <w:color w:val="auto"/>
        </w:rPr>
      </w:pPr>
    </w:p>
    <w:p>
      <w:pPr>
        <w:ind w:left="640" w:hanging="635"/>
        <w:spacing w:after="0" w:line="269"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or will receive money or money's worth in consideration for the issue of the Ordinary Shares and the Preferred Shares upon exercise of any of the Securities and none of the Ordinary Shares and the Preferred Shares were or will be issued for less than par value.</w:t>
      </w:r>
    </w:p>
    <w:p>
      <w:pPr>
        <w:spacing w:after="0" w:line="168" w:lineRule="exact"/>
        <w:rPr>
          <w:rFonts w:ascii="Times New Roman" w:cs="Times New Roman" w:eastAsia="Times New Roman" w:hAnsi="Times New Roman"/>
          <w:sz w:val="18"/>
          <w:szCs w:val="18"/>
          <w:color w:val="auto"/>
        </w:rPr>
      </w:pPr>
    </w:p>
    <w:p>
      <w:pPr>
        <w:jc w:val="both"/>
        <w:ind w:left="640" w:hanging="635"/>
        <w:spacing w:after="0" w:line="252"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and belief, having made due inquiry, the Company is not the subject of legal, arbitral, administrative or other proceedings in any jurisdiction and neither the directors nor Shareholders have taken any steps to have the Company struck off or placed in liquidation. Further, no steps have been taken to wind up the Company or to appoint restructuring officers or interim restructuring officers, and no step has been taken to appoint a receiver in relation to any of the Company's property or assets.</w:t>
      </w:r>
    </w:p>
    <w:p>
      <w:pPr>
        <w:spacing w:after="0" w:line="184" w:lineRule="exact"/>
        <w:rPr>
          <w:rFonts w:ascii="Times New Roman" w:cs="Times New Roman" w:eastAsia="Times New Roman" w:hAnsi="Times New Roman"/>
          <w:sz w:val="18"/>
          <w:szCs w:val="18"/>
          <w:color w:val="auto"/>
        </w:rPr>
      </w:pPr>
    </w:p>
    <w:p>
      <w:pPr>
        <w:ind w:left="640" w:hanging="635"/>
        <w:spacing w:after="0" w:line="269"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and belief, having made due inquiry, there are no circumstances or matters of fact existing which may properly form the basis for an application for an order for rectification of the register of members of the Company.</w:t>
      </w:r>
    </w:p>
    <w:p>
      <w:pPr>
        <w:spacing w:after="0" w:line="168" w:lineRule="exact"/>
        <w:rPr>
          <w:rFonts w:ascii="Times New Roman" w:cs="Times New Roman" w:eastAsia="Times New Roman" w:hAnsi="Times New Roman"/>
          <w:sz w:val="18"/>
          <w:szCs w:val="18"/>
          <w:color w:val="auto"/>
        </w:rPr>
      </w:pPr>
    </w:p>
    <w:p>
      <w:pPr>
        <w:ind w:left="640" w:hanging="635"/>
        <w:spacing w:after="0" w:line="269"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in the Company constituting shares, voting rights or ultimate effective control over management in the Company is currently subject to a restrictions notice issued under the BOT Act.</w:t>
      </w:r>
    </w:p>
    <w:p>
      <w:pPr>
        <w:spacing w:after="0" w:line="168" w:lineRule="exact"/>
        <w:rPr>
          <w:rFonts w:ascii="Times New Roman" w:cs="Times New Roman" w:eastAsia="Times New Roman" w:hAnsi="Times New Roman"/>
          <w:sz w:val="18"/>
          <w:szCs w:val="18"/>
          <w:color w:val="auto"/>
        </w:rPr>
      </w:pPr>
    </w:p>
    <w:p>
      <w:pPr>
        <w:ind w:left="640" w:hanging="635"/>
        <w:spacing w:after="0" w:line="269"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been, or will be, authorised and duly executed and delivered by or on behalf of all relevant parties in accordance with all relevant laws.</w:t>
      </w:r>
    </w:p>
    <w:p>
      <w:pPr>
        <w:spacing w:after="0" w:line="168"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invitation has been made or will be made by or on behalf of the Company to the public in the Cayman Islands to subscribe for any of the Shares.</w:t>
      </w:r>
    </w:p>
    <w:p>
      <w:pPr>
        <w:spacing w:after="0" w:line="237" w:lineRule="exact"/>
        <w:rPr>
          <w:rFonts w:ascii="Times New Roman" w:cs="Times New Roman" w:eastAsia="Times New Roman" w:hAnsi="Times New Roman"/>
          <w:sz w:val="16"/>
          <w:szCs w:val="16"/>
          <w:color w:val="auto"/>
        </w:rPr>
      </w:pPr>
    </w:p>
    <w:p>
      <w:pPr>
        <w:ind w:left="640" w:hanging="635"/>
        <w:spacing w:after="0" w:line="269"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and the Preferred Shares to be issued pursuant to the Registration Statement have been, or will be, duly registered, and will continue to be registered, in the Company's register of members (shareholders).</w:t>
      </w:r>
    </w:p>
    <w:p>
      <w:pPr>
        <w:spacing w:after="0" w:line="168" w:lineRule="exact"/>
        <w:rPr>
          <w:rFonts w:ascii="Times New Roman" w:cs="Times New Roman" w:eastAsia="Times New Roman" w:hAnsi="Times New Roman"/>
          <w:sz w:val="18"/>
          <w:szCs w:val="18"/>
          <w:color w:val="auto"/>
        </w:rPr>
      </w:pPr>
    </w:p>
    <w:p>
      <w:pPr>
        <w:ind w:left="640" w:hanging="635"/>
        <w:spacing w:after="0" w:line="269"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central bank, monetary authority or other sovereign entity of any state and is not a subsidiary, direct or indirect, of any sovereign entity or state.</w:t>
      </w:r>
    </w:p>
    <w:p>
      <w:pPr>
        <w:spacing w:after="0" w:line="168" w:lineRule="exact"/>
        <w:rPr>
          <w:rFonts w:ascii="Times New Roman" w:cs="Times New Roman" w:eastAsia="Times New Roman" w:hAnsi="Times New Roman"/>
          <w:sz w:val="18"/>
          <w:szCs w:val="18"/>
          <w:color w:val="auto"/>
        </w:rPr>
      </w:pPr>
    </w:p>
    <w:p>
      <w:pPr>
        <w:ind w:left="640" w:hanging="635"/>
        <w:spacing w:after="0" w:line="269"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contractual or other prohibition or restriction (other than as arising under Cayman Islands law) binding on the Company prohibiting or restricting it from entering into and performing its obligations under the Plan.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line="269" w:lineRule="auto"/>
        <w:rPr>
          <w:sz w:val="20"/>
          <w:szCs w:val="20"/>
          <w:color w:val="auto"/>
        </w:rPr>
      </w:pPr>
      <w:r>
        <w:rPr>
          <w:rFonts w:ascii="Times New Roman" w:cs="Times New Roman" w:eastAsia="Times New Roman" w:hAnsi="Times New Roman"/>
          <w:sz w:val="18"/>
          <w:szCs w:val="18"/>
          <w:color w:val="auto"/>
        </w:rPr>
        <w:t>I confirm that you may continue to rely on this certificate as being true and correct on the day that you issue the Opinion unless I shall have previously notified you in writing personally to the contrary.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P. Adams, Jr.</w:t>
            </w:r>
          </w:p>
        </w:tc>
      </w:tr>
      <w:tr>
        <w:trPr>
          <w:trHeight w:val="192"/>
        </w:trPr>
        <w:tc>
          <w:tcPr>
            <w:tcW w:w="136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Name:</w:t>
            </w:r>
          </w:p>
        </w:tc>
        <w:tc>
          <w:tcPr>
            <w:tcW w:w="280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Joseph P. Adams, Jr.</w:t>
            </w:r>
          </w:p>
        </w:tc>
      </w:tr>
      <w:tr>
        <w:trPr>
          <w:trHeight w:val="22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13549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5495" cy="336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135495" cy="33655"/>
                    </a:xfrm>
                    <a:prstGeom prst="rect">
                      <a:avLst/>
                    </a:prstGeom>
                    <a:noFill/>
                  </pic:spPr>
                </pic:pic>
              </a:graphicData>
            </a:graphic>
          </wp:anchor>
        </w:drawing>
      </w:r>
    </w:p>
    <w:p>
      <w:pPr>
        <w:spacing w:after="0" w:line="224" w:lineRule="exact"/>
        <w:rPr>
          <w:sz w:val="20"/>
          <w:szCs w:val="20"/>
          <w:color w:val="auto"/>
        </w:rPr>
      </w:pPr>
    </w:p>
    <w:p>
      <w:pPr>
        <w:jc w:val="center"/>
        <w:ind w:left="24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1"/>
          <w:szCs w:val="11"/>
          <w:color w:val="auto"/>
        </w:rPr>
        <w:t>kadden</w:t>
      </w:r>
      <w:r>
        <w:rPr>
          <w:rFonts w:ascii="Times New Roman" w:cs="Times New Roman" w:eastAsia="Times New Roman" w:hAnsi="Times New Roman"/>
          <w:sz w:val="18"/>
          <w:szCs w:val="18"/>
          <w:color w:val="auto"/>
        </w:rPr>
        <w:t>, A</w:t>
      </w:r>
      <w:r>
        <w:rPr>
          <w:rFonts w:ascii="Times New Roman" w:cs="Times New Roman" w:eastAsia="Times New Roman" w:hAnsi="Times New Roman"/>
          <w:sz w:val="11"/>
          <w:szCs w:val="11"/>
          <w:color w:val="auto"/>
        </w:rPr>
        <w:t>rps</w:t>
      </w:r>
      <w:r>
        <w:rPr>
          <w:rFonts w:ascii="Times New Roman" w:cs="Times New Roman" w:eastAsia="Times New Roman" w:hAnsi="Times New Roman"/>
          <w:sz w:val="18"/>
          <w:szCs w:val="18"/>
          <w:color w:val="auto"/>
        </w:rPr>
        <w:t>, S</w:t>
      </w:r>
      <w:r>
        <w:rPr>
          <w:rFonts w:ascii="Times New Roman" w:cs="Times New Roman" w:eastAsia="Times New Roman" w:hAnsi="Times New Roman"/>
          <w:sz w:val="11"/>
          <w:szCs w:val="11"/>
          <w:color w:val="auto"/>
        </w:rPr>
        <w:t>late</w:t>
      </w:r>
      <w:r>
        <w:rPr>
          <w:rFonts w:ascii="Times New Roman" w:cs="Times New Roman" w:eastAsia="Times New Roman" w:hAnsi="Times New Roman"/>
          <w:sz w:val="18"/>
          <w:szCs w:val="18"/>
          <w:color w:val="auto"/>
        </w:rPr>
        <w:t>, M</w:t>
      </w:r>
      <w:r>
        <w:rPr>
          <w:rFonts w:ascii="Times New Roman" w:cs="Times New Roman" w:eastAsia="Times New Roman" w:hAnsi="Times New Roman"/>
          <w:sz w:val="11"/>
          <w:szCs w:val="11"/>
          <w:color w:val="auto"/>
        </w:rPr>
        <w:t>eagher</w:t>
      </w:r>
      <w:r>
        <w:rPr>
          <w:rFonts w:ascii="Times New Roman" w:cs="Times New Roman" w:eastAsia="Times New Roman" w:hAnsi="Times New Roman"/>
          <w:sz w:val="18"/>
          <w:szCs w:val="18"/>
          <w:color w:val="auto"/>
        </w:rPr>
        <w:t xml:space="preserve"> &amp; F</w:t>
      </w:r>
      <w:r>
        <w:rPr>
          <w:rFonts w:ascii="Times New Roman" w:cs="Times New Roman" w:eastAsia="Times New Roman" w:hAnsi="Times New Roman"/>
          <w:sz w:val="11"/>
          <w:szCs w:val="11"/>
          <w:color w:val="auto"/>
        </w:rPr>
        <w:t>lom llp</w:t>
      </w:r>
    </w:p>
    <w:p>
      <w:pPr>
        <w:spacing w:after="0" w:line="21" w:lineRule="exact"/>
        <w:rPr>
          <w:sz w:val="20"/>
          <w:szCs w:val="20"/>
          <w:color w:val="auto"/>
        </w:rPr>
      </w:pPr>
    </w:p>
    <w:p>
      <w:pPr>
        <w:jc w:val="center"/>
        <w:ind w:left="238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4" w:lineRule="exact"/>
        <w:rPr>
          <w:sz w:val="20"/>
          <w:szCs w:val="20"/>
          <w:color w:val="auto"/>
        </w:rPr>
      </w:pPr>
    </w:p>
    <w:p>
      <w:pPr>
        <w:jc w:val="center"/>
        <w:ind w:left="238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27940</wp:posOffset>
            </wp:positionV>
            <wp:extent cx="234315"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234315" cy="16510"/>
                    </a:xfrm>
                    <a:prstGeom prst="rect">
                      <a:avLst/>
                    </a:prstGeom>
                    <a:noFill/>
                  </pic:spPr>
                </pic:pic>
              </a:graphicData>
            </a:graphic>
          </wp:anchor>
        </w:drawing>
      </w:r>
    </w:p>
    <w:p>
      <w:pPr>
        <w:spacing w:after="0" w:line="58" w:lineRule="exact"/>
        <w:rPr>
          <w:sz w:val="20"/>
          <w:szCs w:val="20"/>
          <w:color w:val="auto"/>
        </w:rPr>
      </w:pPr>
    </w:p>
    <w:p>
      <w:pPr>
        <w:jc w:val="center"/>
        <w:ind w:left="2380"/>
        <w:spacing w:after="0"/>
        <w:rPr>
          <w:sz w:val="20"/>
          <w:szCs w:val="20"/>
          <w:color w:val="auto"/>
        </w:rPr>
      </w:pPr>
      <w:r>
        <w:rPr>
          <w:rFonts w:ascii="Times New Roman" w:cs="Times New Roman" w:eastAsia="Times New Roman" w:hAnsi="Times New Roman"/>
          <w:sz w:val="18"/>
          <w:szCs w:val="18"/>
          <w:color w:val="auto"/>
        </w:rPr>
        <w:t>TEL: (212) 735-3000</w:t>
      </w:r>
    </w:p>
    <w:p>
      <w:pPr>
        <w:spacing w:after="0" w:line="21" w:lineRule="exact"/>
        <w:rPr>
          <w:sz w:val="20"/>
          <w:szCs w:val="20"/>
          <w:color w:val="auto"/>
        </w:rPr>
      </w:pPr>
    </w:p>
    <w:p>
      <w:pPr>
        <w:jc w:val="center"/>
        <w:ind w:left="2380"/>
        <w:spacing w:after="0"/>
        <w:rPr>
          <w:sz w:val="20"/>
          <w:szCs w:val="20"/>
          <w:color w:val="auto"/>
        </w:rPr>
      </w:pPr>
      <w:r>
        <w:rPr>
          <w:rFonts w:ascii="Times New Roman" w:cs="Times New Roman" w:eastAsia="Times New Roman" w:hAnsi="Times New Roman"/>
          <w:sz w:val="18"/>
          <w:szCs w:val="18"/>
          <w:color w:val="auto"/>
        </w:rPr>
        <w:t>FAX: (212) 735-2000</w:t>
      </w:r>
    </w:p>
    <w:p>
      <w:pPr>
        <w:spacing w:after="0" w:line="4" w:lineRule="exact"/>
        <w:rPr>
          <w:sz w:val="20"/>
          <w:szCs w:val="20"/>
          <w:color w:val="auto"/>
        </w:rPr>
      </w:pPr>
    </w:p>
    <w:p>
      <w:pPr>
        <w:jc w:val="center"/>
        <w:ind w:left="2380"/>
        <w:spacing w:after="0"/>
        <w:rPr>
          <w:sz w:val="20"/>
          <w:szCs w:val="20"/>
          <w:color w:val="auto"/>
        </w:rPr>
      </w:pPr>
      <w:r>
        <w:rPr>
          <w:rFonts w:ascii="Times New Roman" w:cs="Times New Roman" w:eastAsia="Times New Roman" w:hAnsi="Times New Roman"/>
          <w:sz w:val="18"/>
          <w:szCs w:val="18"/>
          <w:color w:val="auto"/>
        </w:rPr>
        <w:t>www.skadden.com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1, 2026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FTAI Aviation Ltd.</w:t>
      </w:r>
    </w:p>
    <w:p>
      <w:pPr>
        <w:spacing w:after="0" w:line="181" w:lineRule="auto"/>
        <w:rPr>
          <w:sz w:val="20"/>
          <w:szCs w:val="20"/>
          <w:color w:val="auto"/>
        </w:rPr>
      </w:pPr>
      <w:r>
        <w:rPr>
          <w:rFonts w:ascii="Times New Roman" w:cs="Times New Roman" w:eastAsia="Times New Roman" w:hAnsi="Times New Roman"/>
          <w:sz w:val="17"/>
          <w:szCs w:val="17"/>
          <w:color w:val="auto"/>
        </w:rPr>
        <w:t>405 West 13</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xml:space="preserve"> Street,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17"/>
          <w:szCs w:val="17"/>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New York, NY 10014</w:t>
      </w:r>
    </w:p>
    <w:p>
      <w:pPr>
        <w:spacing w:after="0" w:line="195" w:lineRule="exact"/>
        <w:rPr>
          <w:sz w:val="20"/>
          <w:szCs w:val="20"/>
          <w:color w:val="auto"/>
        </w:rPr>
      </w:pPr>
    </w:p>
    <w:tbl>
      <w:tblPr>
        <w:tblLayout w:type="fixed"/>
        <w:tblInd w:w="2540" w:type="dxa"/>
        <w:tblCellMar>
          <w:top w:w="0" w:type="dxa"/>
          <w:left w:w="0" w:type="dxa"/>
          <w:bottom w:w="0" w:type="dxa"/>
          <w:right w:w="0" w:type="dxa"/>
        </w:tblCellMar>
      </w:tblPr>
      <w:tr>
        <w:trPr>
          <w:trHeight w:val="211"/>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FTAI Aviation Ltd.</w:t>
            </w:r>
          </w:p>
        </w:tc>
      </w:tr>
      <w:tr>
        <w:trPr>
          <w:trHeight w:val="190"/>
        </w:trPr>
        <w:tc>
          <w:tcPr>
            <w:tcW w:w="620" w:type="dxa"/>
            <w:vAlign w:val="bottom"/>
          </w:tcPr>
          <w:p>
            <w:pPr>
              <w:spacing w:after="0"/>
              <w:rPr>
                <w:sz w:val="16"/>
                <w:szCs w:val="16"/>
                <w:color w:val="auto"/>
              </w:rPr>
            </w:pPr>
          </w:p>
        </w:tc>
        <w:tc>
          <w:tcPr>
            <w:tcW w:w="2540" w:type="dxa"/>
            <w:vAlign w:val="bottom"/>
            <w:tcBorders>
              <w:bottom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w w:val="96"/>
              </w:rPr>
              <w:t>Registration Statement on Form S-3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250825</wp:posOffset>
            </wp:positionV>
            <wp:extent cx="713549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FIRM/AFFILIATE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53975</wp:posOffset>
            </wp:positionV>
            <wp:extent cx="5842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58420" cy="16510"/>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BOSTON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CHICAGO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HOUSTON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LOS ANGELES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PALO ALTO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WILMINGTON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27940</wp:posOffset>
            </wp:positionV>
            <wp:extent cx="5842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58420" cy="16510"/>
                    </a:xfrm>
                    <a:prstGeom prst="rect">
                      <a:avLst/>
                    </a:prstGeom>
                    <a:noFill/>
                  </pic:spPr>
                </pic:pic>
              </a:graphicData>
            </a:graphic>
          </wp:anchor>
        </w:drawing>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ABU DHABI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BEIJING</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BRUSSELS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FRANKFURT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HONG KONG</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LONDON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MUNICH</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PARIS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SÃO PAULO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SEOUL</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SINGAPORE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TOKYO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TORONTO</w:t>
      </w:r>
    </w:p>
    <w:p>
      <w:pPr>
        <w:sectPr>
          <w:pgSz w:w="11900" w:h="16838" w:orient="portrait"/>
          <w:cols w:equalWidth="0" w:num="2">
            <w:col w:w="8840" w:space="300"/>
            <w:col w:w="2100"/>
          </w:cols>
          <w:pgMar w:left="320" w:top="25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FTAI Aviation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5" w:lineRule="exact"/>
        <w:rPr>
          <w:sz w:val="20"/>
          <w:szCs w:val="20"/>
          <w:color w:val="auto"/>
        </w:rPr>
      </w:pPr>
    </w:p>
    <w:p>
      <w:pPr>
        <w:ind w:firstLine="1265"/>
        <w:spacing w:after="0" w:line="277" w:lineRule="auto"/>
        <w:rPr>
          <w:sz w:val="20"/>
          <w:szCs w:val="20"/>
          <w:color w:val="auto"/>
        </w:rPr>
      </w:pPr>
      <w:r>
        <w:rPr>
          <w:rFonts w:ascii="Times New Roman" w:cs="Times New Roman" w:eastAsia="Times New Roman" w:hAnsi="Times New Roman"/>
          <w:sz w:val="16"/>
          <w:szCs w:val="16"/>
          <w:color w:val="auto"/>
        </w:rPr>
        <w:t>We have acted as special United States counsel to FTAI Aviation Ltd., a Cayman Islands exempted company (the "Company"), in connection with the registration statement on Form S-3 (the "Registration Statement") to be filed on the date hereof by the Company with the Securities and Exchange Commission (the "Commission") under the Securities Act of 1933 (the "Securities Act"). The Registration Statement relates to the issuance and sale by the Company from time to time, pursuant to Rule 415 of the General Rules and Regulations of the Commission promulgated under the Securities Act (the "Rules and Regulations"), of (i) ordinary shares, par value $0.01 per share, of the Company ("Ordinary Shares"), (ii) preferred shares, par value $0.01 per share, of the Company ("Preferred Shares"), which may be issued in one or more classes or series, (iii) depositary receipts (the "Receipts") representing fractional Preferred Shares, which are called depositary shares (the "Depositary Shares") and which may be issued pursuant to one or more depositary agreements (each, a "Depositary Agreement") proposed to be entered into between the Company and one or more bank or trust companies to be named in the applicable Depositary Agreement (each, a "Bank Depositary"), (iv) debt securities of the Company ("Debt Securities"), which may be issued in one or more series under an indenture (the "Indenture"), proposed to be entered into between the Company and U.S. Bank Trust Company, National Association, the form of which is filed as an exhibit to the Registration Statement, (v) warrants to purchase Ordinary Shares, Preferred Shares or Debt Securities ("Warrants"), which may be issued pursuant to one or more warrant agreements (each, a "Warrant Agreement") proposed to be entered into by the Company and one or more warrant agents to be named therein, (vi) subscription rights to purchase Ordinary Shares, Preferred Shares or Debt Securities ("Subscription Rights"), which may be issued under one or more subscription rights certificates (each, a "Subscription Rights Certificate") and/or pursuant to one or more subscription rights agreements (each, a "Subscription Rights Agreement") proposed to be entered into by the Company and one or more subscription agents to be named therein, (vii) purchase contracts ("Purchase Contracts") obligating the holders thereof to purchase from the Company, and the Company to sell to such holders, Ordinary Shares, Preferred Shares or Debt Securities at a future date or dates, which may be issued pursuant to one or more purchase contract agreements (each, a "Purchase Contract Agreement") proposed to be entered into by the Company and one or more purchase contract agents to be named therein, (viii) purchase units of the Company ("Purchase Units"), each consisting of Purchase Contracts, Debt Securities Preferred Shares or debt obligations of third parties, which may be issued pursuant to one or more agreements (each, a "Purchase Unit Agreement") proposed to be entered into by the Company and one or more purchase unit agents to be named therein, and (ix) such indeterminate number of shares of Ordinary Shares, Preferred Shares or Depositary Shares and indeterminate amount of Debt Securities as may be issued upon conversion, exchange or exercise, as applicable, of any Preferred Shares, Depositary Shares, Debt Securities, Warrants or Subscription Rights or settlement of any Purchase Contracts or Purchase Units, including such shares of Ordinary Shares or Preferred Shares as may be issued pursuant to anti-dilution adjustments determined at the time of the offering (collectively, "Indeterminate Securities"). The Depositary Shares, Debt Securities, Warrants, Subscription Rights, Purchase Contracts, Purchase Units and Indeterminate Securities offered pursuant to the Registration Statement are collectively referred to herein as the "Securities."</w:t>
      </w:r>
    </w:p>
    <w:p>
      <w:pPr>
        <w:spacing w:after="0" w:line="200" w:lineRule="exact"/>
        <w:rPr>
          <w:sz w:val="20"/>
          <w:szCs w:val="20"/>
          <w:color w:val="auto"/>
        </w:rPr>
      </w:pPr>
    </w:p>
    <w:p>
      <w:pPr>
        <w:spacing w:after="0" w:line="3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This opinion letter is being furnished in accordance with the requirements of Item 601(b)(5) of Regulation S-K under the Securities Act.</w:t>
      </w:r>
    </w:p>
    <w:p>
      <w:pPr>
        <w:spacing w:after="0" w:line="2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 rendering the opinions stated herein, we have examined and relied upon the following:</w:t>
      </w:r>
    </w:p>
    <w:p>
      <w:pPr>
        <w:spacing w:after="0" w:line="215" w:lineRule="exact"/>
        <w:rPr>
          <w:sz w:val="20"/>
          <w:szCs w:val="20"/>
          <w:color w:val="auto"/>
        </w:rPr>
      </w:pPr>
    </w:p>
    <w:p>
      <w:pPr>
        <w:ind w:left="1900" w:hanging="630"/>
        <w:spacing w:after="0"/>
        <w:tabs>
          <w:tab w:leader="none" w:pos="1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w:t>
      </w:r>
    </w:p>
    <w:p>
      <w:pPr>
        <w:spacing w:after="0" w:line="214" w:lineRule="exact"/>
        <w:rPr>
          <w:rFonts w:ascii="Times New Roman" w:cs="Times New Roman" w:eastAsia="Times New Roman" w:hAnsi="Times New Roman"/>
          <w:sz w:val="18"/>
          <w:szCs w:val="18"/>
          <w:color w:val="auto"/>
        </w:rPr>
      </w:pPr>
    </w:p>
    <w:p>
      <w:pPr>
        <w:ind w:left="1900" w:hanging="630"/>
        <w:spacing w:after="0"/>
        <w:tabs>
          <w:tab w:leader="none" w:pos="1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Indenture filed as an exhibit to the Registration Statement.</w:t>
      </w:r>
    </w:p>
    <w:p>
      <w:pPr>
        <w:spacing w:after="0" w:line="215" w:lineRule="exact"/>
        <w:rPr>
          <w:sz w:val="20"/>
          <w:szCs w:val="20"/>
          <w:color w:val="auto"/>
        </w:rPr>
      </w:pPr>
    </w:p>
    <w:p>
      <w:pPr>
        <w:ind w:firstLine="1265"/>
        <w:spacing w:after="0" w:line="256" w:lineRule="auto"/>
        <w:rPr>
          <w:sz w:val="20"/>
          <w:szCs w:val="20"/>
          <w:color w:val="auto"/>
        </w:rPr>
      </w:pPr>
      <w:r>
        <w:rPr>
          <w:rFonts w:ascii="Times New Roman" w:cs="Times New Roman" w:eastAsia="Times New Roman" w:hAnsi="Times New Roman"/>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3549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FTAI Aviation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44" w:lineRule="exact"/>
        <w:rPr>
          <w:sz w:val="20"/>
          <w:szCs w:val="20"/>
          <w:color w:val="auto"/>
        </w:rPr>
      </w:pPr>
    </w:p>
    <w:p>
      <w:pPr>
        <w:ind w:firstLine="1265"/>
        <w:spacing w:after="0" w:line="250"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w:t>
      </w:r>
    </w:p>
    <w:p>
      <w:pPr>
        <w:spacing w:after="0" w:line="187" w:lineRule="exact"/>
        <w:rPr>
          <w:sz w:val="20"/>
          <w:szCs w:val="20"/>
          <w:color w:val="auto"/>
        </w:rPr>
      </w:pPr>
    </w:p>
    <w:p>
      <w:pPr>
        <w:ind w:right="160" w:firstLine="1265"/>
        <w:spacing w:after="0" w:line="256" w:lineRule="auto"/>
        <w:rPr>
          <w:sz w:val="20"/>
          <w:szCs w:val="20"/>
          <w:color w:val="auto"/>
        </w:rPr>
      </w:pPr>
      <w:r>
        <w:rPr>
          <w:rFonts w:ascii="Times New Roman" w:cs="Times New Roman" w:eastAsia="Times New Roman" w:hAnsi="Times New Roman"/>
          <w:sz w:val="18"/>
          <w:szCs w:val="18"/>
          <w:color w:val="auto"/>
        </w:rPr>
        <w:t>We do not express any opinion with respect to the laws of any jurisdiction other than the laws of the State of New York (the "Opined-on Law"). The Securities may be issued from time to time on a delayed or continuous basis, and this opinion letter is limited to the laws, including the rules and regulations, as in effect on the date hereof, which laws are subject to change with possible retroactive effect.</w:t>
      </w:r>
    </w:p>
    <w:p>
      <w:pPr>
        <w:spacing w:after="0" w:line="181" w:lineRule="exact"/>
        <w:rPr>
          <w:sz w:val="20"/>
          <w:szCs w:val="20"/>
          <w:color w:val="auto"/>
        </w:rPr>
      </w:pPr>
    </w:p>
    <w:p>
      <w:pPr>
        <w:ind w:right="20" w:firstLine="1265"/>
        <w:spacing w:after="0" w:line="256" w:lineRule="auto"/>
        <w:rPr>
          <w:sz w:val="20"/>
          <w:szCs w:val="20"/>
          <w:color w:val="auto"/>
        </w:rPr>
      </w:pPr>
      <w:r>
        <w:rPr>
          <w:rFonts w:ascii="Times New Roman" w:cs="Times New Roman" w:eastAsia="Times New Roman" w:hAnsi="Times New Roman"/>
          <w:sz w:val="18"/>
          <w:szCs w:val="18"/>
          <w:color w:val="auto"/>
        </w:rPr>
        <w:t>As used herein, "Transaction Documents" means the Depositary Agreements, the Indenture and the supplemental indentures and officer's certificates establishing the terms of the Debt Securities pursuant thereto, the Warrant Agreements, the Subscription Rights Agreements, the Purchase Contract Agreements, the Purchase Unit Agreements and any applicable underwriting or purchase agreement.</w:t>
      </w:r>
    </w:p>
    <w:p>
      <w:pPr>
        <w:spacing w:after="0" w:line="181" w:lineRule="exact"/>
        <w:rPr>
          <w:sz w:val="20"/>
          <w:szCs w:val="20"/>
          <w:color w:val="auto"/>
        </w:rPr>
      </w:pPr>
    </w:p>
    <w:p>
      <w:pPr>
        <w:ind w:firstLine="1265"/>
        <w:spacing w:after="0" w:line="246" w:lineRule="auto"/>
        <w:rPr>
          <w:sz w:val="20"/>
          <w:szCs w:val="20"/>
          <w:color w:val="auto"/>
        </w:rPr>
      </w:pPr>
      <w:r>
        <w:rPr>
          <w:rFonts w:ascii="Times New Roman" w:cs="Times New Roman" w:eastAsia="Times New Roman" w:hAnsi="Times New Roman"/>
          <w:sz w:val="18"/>
          <w:szCs w:val="18"/>
          <w:color w:val="auto"/>
        </w:rPr>
        <w:t>The opinions stated in paragraphs 1 through 6 below presume that all of the following (collectively, the "general conditions") shall have occurred prior to the issuance of the Securities referred to therein: (i) the Registration Statement, as finally amended (including all necessary post-effective amendments), has become effective under the Securities Act; (ii) an appropriate prospectus supplement or term sheet with respect to such Securities has been prepared, delivered and filed in compliance with the Securities Act and the applicable Rules and Regulations; (iii) the applicable Transaction Documents shall have been duly authorized, executed and delivered by the Company and the other parties thereto, including, if such Securities are to be sold or otherwise distributed pursuant to a firm commitment underwritten offering, the underwriting agreement or purchase agreement with respect thereto; (iv) the Board of Directors of the Company, including any duly authorized committee thereof, shall have taken all necessary corporate action to approve the issuance and sale of such Securities and related matters and appropriate officers of the Company have taken all related action as directed by or under the direction of the Board of Directors of the Company; and (v) the terms of the applicable Transaction Documents and the issuance and sale of such Securities have been duly established in conformity with the amended and restated memorandum and articles of association of the Company so as not to violate any applicable law, the amended and restated memorandum and articles of association of the Company, or result in a default under or breach of any agreement or instrument binding upon the Company or its properties, and so as to comply with any requirement or restriction imposed by any court or governmental body having jurisdiction over the Company or its properties.</w:t>
      </w:r>
    </w:p>
    <w:p>
      <w:pPr>
        <w:spacing w:after="0" w:line="19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Based upon the foregoing and subject to the qualifications and assumptions stated herein, we are of the opinion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248285</wp:posOffset>
            </wp:positionV>
            <wp:extent cx="713549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FTAI Aviation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44" w:lineRule="exact"/>
        <w:rPr>
          <w:sz w:val="20"/>
          <w:szCs w:val="20"/>
          <w:color w:val="auto"/>
        </w:rPr>
      </w:pPr>
    </w:p>
    <w:p>
      <w:pPr>
        <w:ind w:right="200" w:firstLine="1270"/>
        <w:spacing w:after="0" w:line="247" w:lineRule="auto"/>
        <w:tabs>
          <w:tab w:leader="none" w:pos="192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Depositary Shares offered by the Company, including any Indeterminate Securities constituting Depositary Shares (the “Offered Depositary Shares”), when (a) the general conditions shall have been satisfied, (b) the Preferred Shares relating to such Offered Depositary Shares has been duly authorized for issuance by the Company, (c) the Offered Depositary Shares have been duly executed, delivered, countersigned, issued and sold in accordance with the provisions of the applicable Depositary Agreement, and the Offered Depositary Shares have been delivered to the Bank Depositary for deposit in accordance with the applicable Depositary Agreement and (d) the Receipts evidencing the Depositary Shares have been duly issued against deposit of the related Preferred Shares with the Bank Depositary in accordance with the applicable Depositary Agreement, the Offered Depositary Shares evidenced by such Receipts will entitle the registered holder thereof to the rights specified in such Receipt and in the Depositary Agreement.</w:t>
      </w:r>
    </w:p>
    <w:p>
      <w:pPr>
        <w:spacing w:after="0" w:line="192" w:lineRule="exact"/>
        <w:rPr>
          <w:rFonts w:ascii="Times New Roman" w:cs="Times New Roman" w:eastAsia="Times New Roman" w:hAnsi="Times New Roman"/>
          <w:sz w:val="18"/>
          <w:szCs w:val="18"/>
          <w:color w:val="auto"/>
        </w:rPr>
      </w:pPr>
    </w:p>
    <w:p>
      <w:pPr>
        <w:ind w:firstLine="1270"/>
        <w:spacing w:after="0" w:line="247" w:lineRule="auto"/>
        <w:tabs>
          <w:tab w:leader="none" w:pos="192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series of Debt Securities offered by the Company, including any Indeterminate Securities constituting Debt Securities of such series (the "Offered Debt Securities"), when (a) the general conditions shall have been satisfied, (b) the Indenture has been qualified under the Trust Indenture Act of 1939; (c) the issuance, sale and terms of the Offered Debt Securities and related matters have been approved and established in conformity with the applicable Transaction Documents and (d) the certificates evidencing the Offered Debt Securities have been issued in a form that complies with the provisions of the applicable Transaction Documents and have been duly executed and authenticated in accordance with the provisions of the Indenture and any other applicable Transaction Documents and issued and sold or otherwise distributed in accordance with the provisions of the applicable Transaction Documents upon payment of the agreed-upon consideration therefor, the Offered Debt Securities will constitute valid and binding obligations of the Company, enforceable against the Company in accordance with their respective terms under the laws of the State of New York.</w:t>
      </w:r>
    </w:p>
    <w:p>
      <w:pPr>
        <w:spacing w:after="0" w:line="192" w:lineRule="exact"/>
        <w:rPr>
          <w:rFonts w:ascii="Times New Roman" w:cs="Times New Roman" w:eastAsia="Times New Roman" w:hAnsi="Times New Roman"/>
          <w:sz w:val="18"/>
          <w:szCs w:val="18"/>
          <w:color w:val="auto"/>
        </w:rPr>
      </w:pPr>
    </w:p>
    <w:p>
      <w:pPr>
        <w:ind w:right="100" w:firstLine="1270"/>
        <w:spacing w:after="0" w:line="249" w:lineRule="auto"/>
        <w:tabs>
          <w:tab w:leader="none" w:pos="192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Warrants offered by the Company (the "Offered Warrants"), when (a) the general conditions shall have been satisfied, (b) the Ordinary Shares, Preferred Shares and/or Debt Securities for which the Offered Warrants are exercisable have been duly authorized for issuance by the Company and (c) certificates evidencing the Offered Warrants have been duly executed, delivered and countersigned in accordance with the provisions of the applicable Warrant Agreement, the Offered Warrants, when issued and sold or otherwise distributed in accordance with the provisions of the applicable Transaction Documents upon payment of the agreed-upon consideration therefor, will constitute valid and binding obligations of the Company, enforceable against the Company in accordance with their respective terms under the laws of the State of New York.</w:t>
      </w:r>
    </w:p>
    <w:p>
      <w:pPr>
        <w:spacing w:after="0" w:line="186" w:lineRule="exact"/>
        <w:rPr>
          <w:rFonts w:ascii="Times New Roman" w:cs="Times New Roman" w:eastAsia="Times New Roman" w:hAnsi="Times New Roman"/>
          <w:sz w:val="18"/>
          <w:szCs w:val="18"/>
          <w:color w:val="auto"/>
        </w:rPr>
      </w:pPr>
    </w:p>
    <w:p>
      <w:pPr>
        <w:ind w:right="60" w:firstLine="1270"/>
        <w:spacing w:after="0" w:line="286" w:lineRule="auto"/>
        <w:tabs>
          <w:tab w:leader="none" w:pos="1923"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Subscription Rights offered by the Company (the "Offered Subscription Rights"), when (a) the general conditions shall have been satisfied, (b) the Ordinary Shares, Preferred Shares and/or Debt Securities relating to such Offered Subscription Rights have been duly authorized for issuance by the Company and (c) the Subscription Rights Certificates have been duly executed, delivered and countersigned in accordance with the provisions of the applicable Subscription Rights Agreement, the Offered Subscription Rights, when issued and sold or otherwise distributed in accordance with the provisions of the applicable Transaction Documents upon payment of the agreed-upon consideration therefor, will constitute valid and binding obligations of the Company, enforceable against the Company in accordance with their respective terms under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549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FTAI Aviation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44" w:lineRule="exact"/>
        <w:rPr>
          <w:sz w:val="20"/>
          <w:szCs w:val="20"/>
          <w:color w:val="auto"/>
        </w:rPr>
      </w:pPr>
    </w:p>
    <w:p>
      <w:pPr>
        <w:ind w:firstLine="1270"/>
        <w:spacing w:after="0" w:line="249" w:lineRule="auto"/>
        <w:tabs>
          <w:tab w:leader="none" w:pos="192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Purchase Contracts offered by the Company (the "Offered Purchase Contracts"), when (a) the general conditions shall have been satisfied, (b) the Ordinary Shares, Preferred Shares and/or Debt Securities relating to such Offered Purchase Contracts have been duly authorized for issuance by the Company and (c) the Offered Purchase Contracts have been duly executed, delivered and countersigned in accordance with the provisions of the applicable Purchase Contract Agreement, the Offered Purchase Contracts, when issued and sold or otherwise distributed in accordance with the provisions of the applicable Transaction Documents upon payment of the agreed-upon consideration therefor, will constitute valid and binding obligations of the Company, enforceable against the Company in accordance with their respective terms under the laws of the State of New York.</w:t>
      </w:r>
    </w:p>
    <w:p>
      <w:pPr>
        <w:spacing w:after="0" w:line="186" w:lineRule="exact"/>
        <w:rPr>
          <w:rFonts w:ascii="Times New Roman" w:cs="Times New Roman" w:eastAsia="Times New Roman" w:hAnsi="Times New Roman"/>
          <w:sz w:val="18"/>
          <w:szCs w:val="18"/>
          <w:color w:val="auto"/>
        </w:rPr>
      </w:pPr>
    </w:p>
    <w:p>
      <w:pPr>
        <w:ind w:right="60" w:firstLine="1270"/>
        <w:spacing w:after="0" w:line="248" w:lineRule="auto"/>
        <w:tabs>
          <w:tab w:leader="none" w:pos="192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Purchase Units offered by the Company (the "Offered Purchase Units"), when (a) the general conditions shall have been satisfied, (b) the Purchase Contracts and Debt Securities or debt obligations of third parties included in such Offered Purchase Units, have been duly authorized for issuance or sale by the Company and (c) certificates evidencing the Offered Purchase Units have been duly executed, delivered and countersigned in accordance with the provisions of the applicable Purchase Unit Agreement, the Offered Purchase Units, when issued and sold or otherwise distributed in accordance with the provisions of the applicable Transaction Documents upon payment of the agreed-upon consideration therefor, will constitute valid and binding obligations of the Company, enforceable against the Company in accordance with their respective terms under the laws of the State of New York.</w:t>
      </w:r>
    </w:p>
    <w:p>
      <w:pPr>
        <w:spacing w:after="0" w:line="1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opinions stated herein are subject to the following assumptions and qualifications:</w:t>
      </w:r>
    </w:p>
    <w:p>
      <w:pPr>
        <w:spacing w:after="0" w:line="215" w:lineRule="exact"/>
        <w:rPr>
          <w:sz w:val="20"/>
          <w:szCs w:val="20"/>
          <w:color w:val="auto"/>
        </w:rPr>
      </w:pPr>
    </w:p>
    <w:p>
      <w:pPr>
        <w:ind w:right="80" w:firstLine="1270"/>
        <w:spacing w:after="0" w:line="252" w:lineRule="auto"/>
        <w:tabs>
          <w:tab w:leader="none" w:pos="198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effect on the opinions stated herein of any bankruptcy, insolvency, reorganization, moratorium, fraudulent transfer, preference and other similar laws or governmental orders affecting creditors' rights generally, and the opinions stated herein are limited by such laws and governmental orders and by general principles of equity (regardless of whether enforcement is sought in equity or at law);</w:t>
      </w:r>
    </w:p>
    <w:p>
      <w:pPr>
        <w:spacing w:after="0" w:line="184" w:lineRule="exact"/>
        <w:rPr>
          <w:rFonts w:ascii="Times New Roman" w:cs="Times New Roman" w:eastAsia="Times New Roman" w:hAnsi="Times New Roman"/>
          <w:sz w:val="18"/>
          <w:szCs w:val="18"/>
          <w:color w:val="auto"/>
        </w:rPr>
      </w:pPr>
    </w:p>
    <w:p>
      <w:pPr>
        <w:ind w:right="160" w:firstLine="1270"/>
        <w:spacing w:after="0" w:line="256" w:lineRule="auto"/>
        <w:tabs>
          <w:tab w:leader="none" w:pos="19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any law, rule, regulation or order that is applicable to any party to any of the Transaction Documents or the transactions contemplated thereby solely because such law, rule, regulation or order is part of a regulatory regime applicable to any such party or any of its affiliates as a result of the specific assets or business operations of such party or such affiliates;</w:t>
      </w:r>
    </w:p>
    <w:p>
      <w:pPr>
        <w:spacing w:after="0" w:line="180" w:lineRule="exact"/>
        <w:rPr>
          <w:rFonts w:ascii="Times New Roman" w:cs="Times New Roman" w:eastAsia="Times New Roman" w:hAnsi="Times New Roman"/>
          <w:sz w:val="18"/>
          <w:szCs w:val="18"/>
          <w:color w:val="auto"/>
        </w:rPr>
      </w:pPr>
    </w:p>
    <w:p>
      <w:pPr>
        <w:ind w:right="280" w:firstLine="1270"/>
        <w:spacing w:after="0" w:line="332" w:lineRule="auto"/>
        <w:tabs>
          <w:tab w:leader="none" w:pos="1986"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to the extent expressly stated in the opinions contained herein, we have assumed that each of the Transaction Documents constitutes the valid and binding obligation of each party to such Transaction Document, enforceable against such party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13549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FTAI Aviation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144" w:lineRule="exact"/>
        <w:rPr>
          <w:sz w:val="20"/>
          <w:szCs w:val="20"/>
          <w:color w:val="auto"/>
        </w:rPr>
      </w:pPr>
    </w:p>
    <w:p>
      <w:pPr>
        <w:ind w:right="120" w:firstLine="1270"/>
        <w:spacing w:after="0" w:line="252" w:lineRule="auto"/>
        <w:tabs>
          <w:tab w:leader="none" w:pos="199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regulations or orders, or to the extent any such provision purports to waiver or alter, or has the effect of waiving or altering, any statute of limitations;</w:t>
      </w:r>
    </w:p>
    <w:p>
      <w:pPr>
        <w:spacing w:after="0" w:line="184" w:lineRule="exact"/>
        <w:rPr>
          <w:rFonts w:ascii="Times New Roman" w:cs="Times New Roman" w:eastAsia="Times New Roman" w:hAnsi="Times New Roman"/>
          <w:sz w:val="18"/>
          <w:szCs w:val="18"/>
          <w:color w:val="auto"/>
        </w:rPr>
      </w:pPr>
    </w:p>
    <w:p>
      <w:pPr>
        <w:ind w:right="200" w:firstLine="1270"/>
        <w:spacing w:after="0" w:line="269" w:lineRule="auto"/>
        <w:tabs>
          <w:tab w:leader="none" w:pos="198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enforceability of any provision of any Transaction Document to the extent that such provision purports to bind the Company to the exclusive jurisdiction of any particular court or courts;</w:t>
      </w:r>
    </w:p>
    <w:p>
      <w:pPr>
        <w:spacing w:after="0" w:line="168" w:lineRule="exact"/>
        <w:rPr>
          <w:rFonts w:ascii="Times New Roman" w:cs="Times New Roman" w:eastAsia="Times New Roman" w:hAnsi="Times New Roman"/>
          <w:sz w:val="18"/>
          <w:szCs w:val="18"/>
          <w:color w:val="auto"/>
        </w:rPr>
      </w:pPr>
    </w:p>
    <w:p>
      <w:pPr>
        <w:jc w:val="both"/>
        <w:ind w:right="100" w:firstLine="1270"/>
        <w:spacing w:after="0" w:line="252" w:lineRule="auto"/>
        <w:tabs>
          <w:tab w:leader="none" w:pos="196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spacing w:after="0" w:line="184" w:lineRule="exact"/>
        <w:rPr>
          <w:rFonts w:ascii="Times New Roman" w:cs="Times New Roman" w:eastAsia="Times New Roman" w:hAnsi="Times New Roman"/>
          <w:sz w:val="18"/>
          <w:szCs w:val="18"/>
          <w:color w:val="auto"/>
        </w:rPr>
      </w:pPr>
    </w:p>
    <w:p>
      <w:pPr>
        <w:jc w:val="both"/>
        <w:ind w:firstLine="1270"/>
        <w:spacing w:after="0" w:line="256" w:lineRule="auto"/>
        <w:tabs>
          <w:tab w:leader="none" w:pos="199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assumed that the choice of a currency other than U.S. dollars as the currency in which any Securities may be denominated does not contravene any exchange control or other laws of the jurisdiction of any such currency, and further we call to your attention that a court may not award a judgment in any currency other than U.S. dollars;</w:t>
      </w:r>
    </w:p>
    <w:p>
      <w:pPr>
        <w:spacing w:after="0" w:line="180" w:lineRule="exact"/>
        <w:rPr>
          <w:rFonts w:ascii="Times New Roman" w:cs="Times New Roman" w:eastAsia="Times New Roman" w:hAnsi="Times New Roman"/>
          <w:sz w:val="18"/>
          <w:szCs w:val="18"/>
          <w:color w:val="auto"/>
        </w:rPr>
      </w:pPr>
    </w:p>
    <w:p>
      <w:pPr>
        <w:jc w:val="both"/>
        <w:ind w:right="80" w:firstLine="1270"/>
        <w:spacing w:after="0" w:line="252" w:lineRule="auto"/>
        <w:tabs>
          <w:tab w:leader="none" w:pos="199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stated herein are limited to the agreements and documents specifically identified in the opinions contained herein (the “Specified Documents”) without regard to any agreement or other document referenced in any Specified Document (including agreements or other documents incorporated by reference or attached or annexed thereto) and without regard to any other agreement or document relating to any Specified Document that is not a Transaction Document;</w:t>
      </w:r>
    </w:p>
    <w:p>
      <w:pPr>
        <w:spacing w:after="0" w:line="184" w:lineRule="exact"/>
        <w:rPr>
          <w:rFonts w:ascii="Times New Roman" w:cs="Times New Roman" w:eastAsia="Times New Roman" w:hAnsi="Times New Roman"/>
          <w:sz w:val="18"/>
          <w:szCs w:val="18"/>
          <w:color w:val="auto"/>
        </w:rPr>
      </w:pPr>
    </w:p>
    <w:p>
      <w:pPr>
        <w:ind w:right="20" w:firstLine="1270"/>
        <w:spacing w:after="0" w:line="250" w:lineRule="auto"/>
        <w:tabs>
          <w:tab w:leader="none" w:pos="195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Shares that will be deposited with the Bank Depositary in connection with the issuance of the Offered Depositary Shares will have been duly authorized, validly issued and will be fully paid and nonassessable and that any preemptive rights with respect to such Preferred Shares will have been validly waived or exercised, (ii) such Preferred Shares will be free and clear of any pledge, lien, security interest, charge, claim, equity or encumbrance of any kind or any restriction on transfer or voting, and (iii) certificates for the Preferred Shares will have been duly executed and delivered and will have been properly deposited with the Bank Depositary pursuant to the terms of the Depositary Agreement;</w:t>
      </w:r>
    </w:p>
    <w:p>
      <w:pPr>
        <w:spacing w:after="0" w:line="186" w:lineRule="exact"/>
        <w:rPr>
          <w:rFonts w:ascii="Times New Roman" w:cs="Times New Roman" w:eastAsia="Times New Roman" w:hAnsi="Times New Roman"/>
          <w:sz w:val="18"/>
          <w:szCs w:val="18"/>
          <w:color w:val="auto"/>
        </w:rPr>
      </w:pPr>
    </w:p>
    <w:p>
      <w:pPr>
        <w:ind w:right="320" w:firstLine="1270"/>
        <w:spacing w:after="0" w:line="269" w:lineRule="auto"/>
        <w:tabs>
          <w:tab w:leader="none" w:pos="195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addresses only the Offered Depositary Shares and the Receipt issued pursuant to the Depositary Agreement and we express no opinion with respect to the Preferred Shares deposited with the Bank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219075</wp:posOffset>
            </wp:positionV>
            <wp:extent cx="713549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FTAI Aviation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144" w:lineRule="exact"/>
        <w:rPr>
          <w:sz w:val="20"/>
          <w:szCs w:val="20"/>
          <w:color w:val="auto"/>
        </w:rPr>
      </w:pPr>
    </w:p>
    <w:p>
      <w:pPr>
        <w:jc w:val="both"/>
        <w:ind w:right="60" w:firstLine="1270"/>
        <w:spacing w:after="0" w:line="256" w:lineRule="auto"/>
        <w:tabs>
          <w:tab w:leader="none" w:pos="199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effectiveness of the Indenture and immediately prior to the issuance of any series of Offered Debt Securities, the Indenture has not been amended, restated, supplemented or otherwise modified in any way that affects or relates to such series of Offered Debt Securities other than by the applicable Transaction Documents relating to such series of Offered Debt Securities;</w:t>
      </w:r>
    </w:p>
    <w:p>
      <w:pPr>
        <w:spacing w:after="0" w:line="180" w:lineRule="exact"/>
        <w:rPr>
          <w:rFonts w:ascii="Times New Roman" w:cs="Times New Roman" w:eastAsia="Times New Roman" w:hAnsi="Times New Roman"/>
          <w:sz w:val="18"/>
          <w:szCs w:val="18"/>
          <w:color w:val="auto"/>
        </w:rPr>
      </w:pPr>
    </w:p>
    <w:p>
      <w:pPr>
        <w:ind w:right="660" w:firstLine="1270"/>
        <w:spacing w:after="0" w:line="269" w:lineRule="auto"/>
        <w:tabs>
          <w:tab w:leader="none" w:pos="195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assumed that the laws of the State of New York will be chosen to govern any Transaction Documents entered into subsequent to the date hereof and that such choice is and will be a valid and legal provision;</w:t>
      </w:r>
    </w:p>
    <w:p>
      <w:pPr>
        <w:spacing w:after="0" w:line="168" w:lineRule="exact"/>
        <w:rPr>
          <w:rFonts w:ascii="Times New Roman" w:cs="Times New Roman" w:eastAsia="Times New Roman" w:hAnsi="Times New Roman"/>
          <w:sz w:val="18"/>
          <w:szCs w:val="18"/>
          <w:color w:val="auto"/>
        </w:rPr>
      </w:pPr>
    </w:p>
    <w:p>
      <w:pPr>
        <w:ind w:left="2000" w:hanging="730"/>
        <w:spacing w:after="0"/>
        <w:tabs>
          <w:tab w:leader="none" w:pos="2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assumed that the Indenture will be duly authorized, executed and delivered by the trustee in substantially the form</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by us;</w:t>
      </w:r>
    </w:p>
    <w:p>
      <w:pPr>
        <w:spacing w:after="0" w:line="196" w:lineRule="exact"/>
        <w:rPr>
          <w:rFonts w:ascii="Times New Roman" w:cs="Times New Roman" w:eastAsia="Times New Roman" w:hAnsi="Times New Roman"/>
          <w:sz w:val="18"/>
          <w:szCs w:val="18"/>
          <w:color w:val="auto"/>
        </w:rPr>
      </w:pPr>
    </w:p>
    <w:p>
      <w:pPr>
        <w:ind w:right="80" w:firstLine="1270"/>
        <w:spacing w:after="0" w:line="269" w:lineRule="auto"/>
        <w:tabs>
          <w:tab w:leader="none" w:pos="199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call to your attention that the opinions stated herein are subject to possible judicial action giving effect to governmental actions or laws of jurisdictions other than those with respect to which we express our opinion;</w:t>
      </w:r>
    </w:p>
    <w:p>
      <w:pPr>
        <w:spacing w:after="0" w:line="168" w:lineRule="exact"/>
        <w:rPr>
          <w:rFonts w:ascii="Times New Roman" w:cs="Times New Roman" w:eastAsia="Times New Roman" w:hAnsi="Times New Roman"/>
          <w:sz w:val="18"/>
          <w:szCs w:val="18"/>
          <w:color w:val="auto"/>
        </w:rPr>
      </w:pPr>
    </w:p>
    <w:p>
      <w:pPr>
        <w:jc w:val="both"/>
        <w:ind w:firstLine="1270"/>
        <w:spacing w:after="0" w:line="256" w:lineRule="auto"/>
        <w:tabs>
          <w:tab w:leader="none" w:pos="199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assumed that the choice of a currency other than U.S. dollars as the currency in which any Securities may be denominated does not contravene any exchange control or other laws of the jurisdiction of any such currency, and further we call to your attention that a court may not award a judgment in any currency other than U.S. dollars;</w:t>
      </w:r>
    </w:p>
    <w:p>
      <w:pPr>
        <w:spacing w:after="0" w:line="180" w:lineRule="exact"/>
        <w:rPr>
          <w:rFonts w:ascii="Times New Roman" w:cs="Times New Roman" w:eastAsia="Times New Roman" w:hAnsi="Times New Roman"/>
          <w:sz w:val="18"/>
          <w:szCs w:val="18"/>
          <w:color w:val="auto"/>
        </w:rPr>
      </w:pPr>
    </w:p>
    <w:p>
      <w:pPr>
        <w:ind w:right="20" w:firstLine="1270"/>
        <w:spacing w:after="0" w:line="303" w:lineRule="auto"/>
        <w:tabs>
          <w:tab w:leader="none" w:pos="1996"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any opinion relates to the enforceability of the choice of New York law and choice of New York forum provisions contained in any Transaction Document, the opinions stated herein are subject to the qualification that such enforceability may be subject to, in each case, (i) the exceptions and limitations in New York General Obligations Law Sections 5-1401 and 5-1402 and (ii) principles of comity and constitutionality; and</w:t>
      </w:r>
    </w:p>
    <w:p>
      <w:pPr>
        <w:spacing w:after="0" w:line="146" w:lineRule="exact"/>
        <w:rPr>
          <w:rFonts w:ascii="Times New Roman" w:cs="Times New Roman" w:eastAsia="Times New Roman" w:hAnsi="Times New Roman"/>
          <w:sz w:val="16"/>
          <w:szCs w:val="16"/>
          <w:color w:val="auto"/>
        </w:rPr>
      </w:pPr>
    </w:p>
    <w:p>
      <w:pPr>
        <w:ind w:right="380" w:firstLine="1270"/>
        <w:spacing w:after="0" w:line="269" w:lineRule="auto"/>
        <w:tabs>
          <w:tab w:leader="none" w:pos="199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letter shall be interpreted in accordance with customary practice of United States lawyers who regularly give, and United States lawyers who regularly advise opinion recipients regarding, opinions in transactions of this type.</w:t>
      </w:r>
    </w:p>
    <w:p>
      <w:pPr>
        <w:spacing w:after="0" w:line="1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 addition, in rendering the foregoing opinions we have further assumed that:</w:t>
      </w:r>
    </w:p>
    <w:p>
      <w:pPr>
        <w:spacing w:after="0" w:line="215" w:lineRule="exact"/>
        <w:rPr>
          <w:sz w:val="20"/>
          <w:szCs w:val="20"/>
          <w:color w:val="auto"/>
        </w:rPr>
      </w:pPr>
    </w:p>
    <w:p>
      <w:pPr>
        <w:ind w:right="100" w:firstLine="1270"/>
        <w:spacing w:after="0" w:line="256" w:lineRule="auto"/>
        <w:tabs>
          <w:tab w:leader="none" w:pos="198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is duly incorporated and is validly existing and in good standing, (ii) has requisite legal status and legal capacity under the laws of the jurisdiction of its organization and (iii) has complied and will comply with all aspects of the laws of the jurisdiction of its organization in connection with the transactions contemplated by, and the performance of its obligations under, the Transaction Documents;</w:t>
      </w:r>
    </w:p>
    <w:p>
      <w:pPr>
        <w:spacing w:after="0" w:line="180" w:lineRule="exact"/>
        <w:rPr>
          <w:rFonts w:ascii="Times New Roman" w:cs="Times New Roman" w:eastAsia="Times New Roman" w:hAnsi="Times New Roman"/>
          <w:sz w:val="18"/>
          <w:szCs w:val="18"/>
          <w:color w:val="auto"/>
        </w:rPr>
      </w:pPr>
    </w:p>
    <w:p>
      <w:pPr>
        <w:ind w:left="2000" w:hanging="730"/>
        <w:spacing w:after="0"/>
        <w:tabs>
          <w:tab w:leader="none" w:pos="2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corporate power and authority to execute, deliver and perform all its obligations under each of the</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135495"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FTAI Aviation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144" w:lineRule="exact"/>
        <w:rPr>
          <w:sz w:val="20"/>
          <w:szCs w:val="20"/>
          <w:color w:val="auto"/>
        </w:rPr>
      </w:pPr>
    </w:p>
    <w:p>
      <w:pPr>
        <w:ind w:firstLine="1270"/>
        <w:spacing w:after="0" w:line="249" w:lineRule="auto"/>
        <w:tabs>
          <w:tab w:leader="none" w:pos="198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by the Company of the Transaction Documents nor the performance by the Company of its obligations thereunder, including the issuance and sale of the applicable Securities: (i) conflicts or will conflict with the amended and restated memorandum and articles of association of the Company, (ii) constitutes or will constitute a violation of, or a default under, any lease, indenture, agreement or other instrument to which the Company or its property is subject, (iii) contravenes or will contravene any order or decree of any governmental authority to which the Company or its property is subject, or (iv) violates or will violate any law, rule or regulation to which the Company or its property is subject (except that we do not make the assumption set forth in this clause (iv) with respect to the Opined-on Law); and</w:t>
      </w:r>
    </w:p>
    <w:p>
      <w:pPr>
        <w:spacing w:after="0" w:line="186" w:lineRule="exact"/>
        <w:rPr>
          <w:rFonts w:ascii="Times New Roman" w:cs="Times New Roman" w:eastAsia="Times New Roman" w:hAnsi="Times New Roman"/>
          <w:sz w:val="18"/>
          <w:szCs w:val="18"/>
          <w:color w:val="auto"/>
        </w:rPr>
      </w:pPr>
    </w:p>
    <w:p>
      <w:pPr>
        <w:ind w:right="40" w:firstLine="1270"/>
        <w:spacing w:after="0" w:line="256" w:lineRule="auto"/>
        <w:tabs>
          <w:tab w:leader="none" w:pos="199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by the Company of the Transaction Documents nor the performance by the Company of its obligations thereunder, including the issuance and sale of the applicable Securities, requires or will require the consent, approval, licensing or authorization of, or any filing, recording or registration with, any governmental authority under any law, rule or regulation of any jurisdiction.</w:t>
      </w:r>
    </w:p>
    <w:p>
      <w:pPr>
        <w:spacing w:after="0" w:line="181" w:lineRule="exact"/>
        <w:rPr>
          <w:sz w:val="20"/>
          <w:szCs w:val="20"/>
          <w:color w:val="auto"/>
        </w:rPr>
      </w:pPr>
    </w:p>
    <w:p>
      <w:pPr>
        <w:ind w:right="180" w:firstLine="1265"/>
        <w:spacing w:after="0" w:line="250"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 "Legal Matters" in the prospectus forming part of the Registration Statement. We also hereby consent to the filing of this opinion letter with the Commission as an exhibit to the Registration Statement. In giving this consent, we do not thereby admit that we are within the category of persons whose consent is required under Section 7 of the Securities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w:t>
      </w:r>
    </w:p>
    <w:p>
      <w:pPr>
        <w:spacing w:after="0" w:line="1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u w:val="single" w:color="auto"/>
          <w:color w:val="auto"/>
        </w:rPr>
        <w:t>/s/ Skadden, Arps, Slate, Meagher &amp; Flom,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328930</wp:posOffset>
            </wp:positionV>
            <wp:extent cx="713549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5495" cy="336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135495" cy="33655"/>
                    </a:xfrm>
                    <a:prstGeom prst="rect">
                      <a:avLst/>
                    </a:prstGeom>
                    <a:noFill/>
                  </pic:spPr>
                </pic:pic>
              </a:graphicData>
            </a:graphic>
          </wp:anchor>
        </w:drawing>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86130" cy="309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786130" cy="309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KPMG LLP</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Two Manhattan West</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375 9th Avenue, 17th Floor</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7" w:lineRule="exact"/>
        <w:rPr>
          <w:sz w:val="20"/>
          <w:szCs w:val="20"/>
          <w:color w:val="auto"/>
        </w:rPr>
      </w:pPr>
    </w:p>
    <w:p>
      <w:pPr>
        <w:ind w:right="120"/>
        <w:spacing w:after="0" w:line="332" w:lineRule="auto"/>
        <w:rPr>
          <w:sz w:val="20"/>
          <w:szCs w:val="20"/>
          <w:color w:val="auto"/>
        </w:rPr>
      </w:pPr>
      <w:r>
        <w:rPr>
          <w:rFonts w:ascii="Times New Roman" w:cs="Times New Roman" w:eastAsia="Times New Roman" w:hAnsi="Times New Roman"/>
          <w:sz w:val="16"/>
          <w:szCs w:val="16"/>
          <w:color w:val="auto"/>
        </w:rPr>
        <w:t>We consent to the use of our report dated February 27, 2026, with respect to the consolidated financial statements of FTAI Aviation Ltd., and the effectiveness of internal control over financial reporting, incorporated herein by reference, and to the reference to our firm under the heading "Experts"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90170</wp:posOffset>
            </wp:positionV>
            <wp:extent cx="1096010" cy="2343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109601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197" w:lineRule="exact"/>
        <w:rPr>
          <w:sz w:val="20"/>
          <w:szCs w:val="20"/>
          <w:color w:val="auto"/>
        </w:rPr>
      </w:pPr>
    </w:p>
    <w:p>
      <w:pPr>
        <w:jc w:val="both"/>
        <w:ind w:left="2860" w:right="2500"/>
        <w:spacing w:after="0" w:line="256" w:lineRule="auto"/>
        <w:rPr>
          <w:sz w:val="20"/>
          <w:szCs w:val="20"/>
          <w:color w:val="auto"/>
        </w:rPr>
      </w:pPr>
      <w:r>
        <w:rPr>
          <w:rFonts w:ascii="Times New Roman" w:cs="Times New Roman" w:eastAsia="Times New Roman" w:hAnsi="Times New Roman"/>
          <w:sz w:val="18"/>
          <w:szCs w:val="18"/>
          <w:color w:val="auto"/>
        </w:rPr>
        <w:t>KPMG LLP, a Delaware limited liability partnership, and its subsidiaries are part of the KPMG global organization of independent member firms affiliated with KPMG International Limited, a private English company limited by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310515</wp:posOffset>
            </wp:positionV>
            <wp:extent cx="713549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5495" cy="336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135495" cy="33655"/>
                    </a:xfrm>
                    <a:prstGeom prst="rect">
                      <a:avLst/>
                    </a:prstGeom>
                    <a:noFill/>
                  </pic:spPr>
                </pic:pic>
              </a:graphicData>
            </a:graphic>
          </wp:anchor>
        </w:drawing>
        <w:t>Exhibit 23.2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1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1"/>
          <w:szCs w:val="21"/>
          <w:color w:val="auto"/>
        </w:rPr>
        <w:t>We consent to the reference to our firm under the caption "Experts" in the Registration Statement (Form S-3) and related Prospectus of FTAI Aviation Ltd. for the registration of Ordinary Shares, Preferred Shares, Depositary Shares, Debt Securities, Warrants, Subscription Rights, Purchase Contracts, and Purchase Units and to the incorporation by reference therein of our report dated March 3, 2025, with respect to the consolidated financial statements of FTAI Aviation Ltd. included in its Annual Report (Form 10-K) for the year ended December 31, 2025, filed with the Securities and Exchange Commission.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Ernst &amp; Young LLP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New York, New York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13549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5" w:name="page76"/>
    <w:bookmarkEnd w:id="75"/>
    <w:p>
      <w:pPr>
        <w:ind w:left="103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5495" cy="336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7135495" cy="336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205740</wp:posOffset>
            </wp:positionV>
            <wp:extent cx="71354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7135495" cy="8255"/>
                    </a:xfrm>
                    <a:prstGeom prst="rect">
                      <a:avLst/>
                    </a:prstGeom>
                    <a:noFill/>
                  </pic:spPr>
                </pic:pic>
              </a:graphicData>
            </a:graphic>
          </wp:anchor>
        </w:drawing>
        <w:t>Exhibit 25.1</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198755</wp:posOffset>
            </wp:positionV>
            <wp:extent cx="178181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1781810" cy="1651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T-1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ELIGIBILITY UNDER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TRUST INDENTURE ACT OF 1939 OF 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 DESIGNATED TO ACT AS TRUSTEE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if an Application to Determine Eligibility of</w:t>
      </w: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a Trustee Pursuant to Section 305(b)(2)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198120</wp:posOffset>
            </wp:positionV>
            <wp:extent cx="357187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357187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Trustee as specified in its charter)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91-1821036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5640" w:type="dxa"/>
            <w:vAlign w:val="bottom"/>
            <w:tcBorders>
              <w:top w:val="single" w:sz="8" w:color="auto"/>
              <w:left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16"/>
                <w:szCs w:val="16"/>
                <w:color w:val="auto"/>
              </w:rPr>
              <w:t>200 South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Street</w:t>
            </w:r>
          </w:p>
        </w:tc>
        <w:tc>
          <w:tcPr>
            <w:tcW w:w="2240" w:type="dxa"/>
            <w:vAlign w:val="bottom"/>
            <w:tcBorders>
              <w:top w:val="single" w:sz="8" w:color="auto"/>
            </w:tcBorders>
          </w:tcPr>
          <w:p>
            <w:pPr>
              <w:spacing w:after="0"/>
              <w:rPr>
                <w:sz w:val="19"/>
                <w:szCs w:val="19"/>
                <w:color w:val="auto"/>
              </w:rPr>
            </w:pPr>
          </w:p>
        </w:tc>
        <w:tc>
          <w:tcPr>
            <w:tcW w:w="3360" w:type="dxa"/>
            <w:vAlign w:val="bottom"/>
            <w:tcBorders>
              <w:top w:val="single" w:sz="8" w:color="auto"/>
              <w:right w:val="single" w:sz="8" w:color="auto"/>
            </w:tcBorders>
          </w:tcPr>
          <w:p>
            <w:pPr>
              <w:spacing w:after="0"/>
              <w:rPr>
                <w:sz w:val="19"/>
                <w:szCs w:val="19"/>
                <w:color w:val="auto"/>
              </w:rPr>
            </w:pPr>
          </w:p>
        </w:tc>
      </w:tr>
      <w:tr>
        <w:trPr>
          <w:trHeight w:val="236"/>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Minneapolis, Minnesota</w:t>
            </w:r>
          </w:p>
        </w:tc>
        <w:tc>
          <w:tcPr>
            <w:tcW w:w="2240" w:type="dxa"/>
            <w:vAlign w:val="bottom"/>
            <w:tcBorders>
              <w:bottom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right"/>
              <w:ind w:right="2512"/>
              <w:spacing w:after="0"/>
              <w:rPr>
                <w:sz w:val="20"/>
                <w:szCs w:val="20"/>
                <w:color w:val="auto"/>
              </w:rPr>
            </w:pPr>
            <w:r>
              <w:rPr>
                <w:rFonts w:ascii="Times New Roman" w:cs="Times New Roman" w:eastAsia="Times New Roman" w:hAnsi="Times New Roman"/>
                <w:sz w:val="18"/>
                <w:szCs w:val="18"/>
                <w:color w:val="auto"/>
              </w:rPr>
              <w:t>55402</w:t>
            </w:r>
          </w:p>
        </w:tc>
      </w:tr>
      <w:tr>
        <w:trPr>
          <w:trHeight w:val="217"/>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2240" w:type="dxa"/>
            <w:vAlign w:val="bottom"/>
            <w:tcBorders>
              <w:bottom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jc w:val="center"/>
              <w:ind w:right="2172"/>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03"/>
        </w:trPr>
        <w:tc>
          <w:tcPr>
            <w:tcW w:w="7880" w:type="dxa"/>
            <w:vAlign w:val="bottom"/>
            <w:gridSpan w:val="2"/>
          </w:tcPr>
          <w:p>
            <w:pPr>
              <w:jc w:val="center"/>
              <w:ind w:left="3273"/>
              <w:spacing w:after="0"/>
              <w:rPr>
                <w:sz w:val="20"/>
                <w:szCs w:val="20"/>
                <w:color w:val="auto"/>
              </w:rPr>
            </w:pPr>
            <w:r>
              <w:rPr>
                <w:rFonts w:ascii="Times New Roman" w:cs="Times New Roman" w:eastAsia="Times New Roman" w:hAnsi="Times New Roman"/>
                <w:sz w:val="18"/>
                <w:szCs w:val="18"/>
                <w:color w:val="auto"/>
                <w:w w:val="97"/>
              </w:rPr>
              <w:t>Joshua A. Hahn</w:t>
            </w:r>
          </w:p>
        </w:tc>
        <w:tc>
          <w:tcPr>
            <w:tcW w:w="3360" w:type="dxa"/>
            <w:vAlign w:val="bottom"/>
          </w:tcPr>
          <w:p>
            <w:pPr>
              <w:spacing w:after="0"/>
              <w:rPr>
                <w:sz w:val="24"/>
                <w:szCs w:val="24"/>
                <w:color w:val="auto"/>
              </w:rPr>
            </w:pPr>
          </w:p>
        </w:tc>
      </w:tr>
      <w:tr>
        <w:trPr>
          <w:trHeight w:val="211"/>
        </w:trPr>
        <w:tc>
          <w:tcPr>
            <w:tcW w:w="7880" w:type="dxa"/>
            <w:vAlign w:val="bottom"/>
            <w:gridSpan w:val="2"/>
          </w:tcPr>
          <w:p>
            <w:pPr>
              <w:jc w:val="center"/>
              <w:ind w:left="3293"/>
              <w:spacing w:after="0"/>
              <w:rPr>
                <w:sz w:val="20"/>
                <w:szCs w:val="20"/>
                <w:color w:val="auto"/>
              </w:rPr>
            </w:pPr>
            <w:r>
              <w:rPr>
                <w:rFonts w:ascii="Times New Roman" w:cs="Times New Roman" w:eastAsia="Times New Roman" w:hAnsi="Times New Roman"/>
                <w:sz w:val="18"/>
                <w:szCs w:val="18"/>
                <w:color w:val="auto"/>
                <w:w w:val="97"/>
              </w:rPr>
              <w:t>U.S. Bank Trust Company, National Association</w:t>
            </w:r>
          </w:p>
        </w:tc>
        <w:tc>
          <w:tcPr>
            <w:tcW w:w="3360" w:type="dxa"/>
            <w:vAlign w:val="bottom"/>
          </w:tcPr>
          <w:p>
            <w:pPr>
              <w:spacing w:after="0"/>
              <w:rPr>
                <w:sz w:val="18"/>
                <w:szCs w:val="18"/>
                <w:color w:val="auto"/>
              </w:rPr>
            </w:pPr>
          </w:p>
        </w:tc>
      </w:tr>
      <w:tr>
        <w:trPr>
          <w:trHeight w:val="211"/>
        </w:trPr>
        <w:tc>
          <w:tcPr>
            <w:tcW w:w="7880" w:type="dxa"/>
            <w:vAlign w:val="bottom"/>
            <w:gridSpan w:val="2"/>
          </w:tcPr>
          <w:p>
            <w:pPr>
              <w:jc w:val="center"/>
              <w:ind w:left="3273"/>
              <w:spacing w:after="0"/>
              <w:rPr>
                <w:sz w:val="20"/>
                <w:szCs w:val="20"/>
                <w:color w:val="auto"/>
              </w:rPr>
            </w:pPr>
            <w:r>
              <w:rPr>
                <w:rFonts w:ascii="Times New Roman" w:cs="Times New Roman" w:eastAsia="Times New Roman" w:hAnsi="Times New Roman"/>
                <w:sz w:val="18"/>
                <w:szCs w:val="18"/>
                <w:color w:val="auto"/>
                <w:w w:val="96"/>
              </w:rPr>
              <w:t>60 Livingston Avenue</w:t>
            </w:r>
          </w:p>
        </w:tc>
        <w:tc>
          <w:tcPr>
            <w:tcW w:w="3360" w:type="dxa"/>
            <w:vAlign w:val="bottom"/>
          </w:tcPr>
          <w:p>
            <w:pPr>
              <w:spacing w:after="0"/>
              <w:rPr>
                <w:sz w:val="18"/>
                <w:szCs w:val="18"/>
                <w:color w:val="auto"/>
              </w:rPr>
            </w:pPr>
          </w:p>
        </w:tc>
      </w:tr>
      <w:tr>
        <w:trPr>
          <w:trHeight w:val="211"/>
        </w:trPr>
        <w:tc>
          <w:tcPr>
            <w:tcW w:w="7880" w:type="dxa"/>
            <w:vAlign w:val="bottom"/>
            <w:gridSpan w:val="2"/>
          </w:tcPr>
          <w:p>
            <w:pPr>
              <w:jc w:val="center"/>
              <w:ind w:left="3273"/>
              <w:spacing w:after="0"/>
              <w:rPr>
                <w:sz w:val="20"/>
                <w:szCs w:val="20"/>
                <w:color w:val="auto"/>
              </w:rPr>
            </w:pPr>
            <w:r>
              <w:rPr>
                <w:rFonts w:ascii="Times New Roman" w:cs="Times New Roman" w:eastAsia="Times New Roman" w:hAnsi="Times New Roman"/>
                <w:sz w:val="18"/>
                <w:szCs w:val="18"/>
                <w:color w:val="auto"/>
                <w:w w:val="97"/>
              </w:rPr>
              <w:t>St. Paul, MN 55107</w:t>
            </w:r>
          </w:p>
        </w:tc>
        <w:tc>
          <w:tcPr>
            <w:tcW w:w="3360" w:type="dxa"/>
            <w:vAlign w:val="bottom"/>
          </w:tcPr>
          <w:p>
            <w:pPr>
              <w:spacing w:after="0"/>
              <w:rPr>
                <w:sz w:val="18"/>
                <w:szCs w:val="18"/>
                <w:color w:val="auto"/>
              </w:rPr>
            </w:pPr>
          </w:p>
        </w:tc>
      </w:tr>
      <w:tr>
        <w:trPr>
          <w:trHeight w:val="211"/>
        </w:trPr>
        <w:tc>
          <w:tcPr>
            <w:tcW w:w="7880" w:type="dxa"/>
            <w:vAlign w:val="bottom"/>
            <w:gridSpan w:val="2"/>
          </w:tcPr>
          <w:p>
            <w:pPr>
              <w:jc w:val="center"/>
              <w:ind w:left="3293"/>
              <w:spacing w:after="0"/>
              <w:rPr>
                <w:sz w:val="20"/>
                <w:szCs w:val="20"/>
                <w:color w:val="auto"/>
              </w:rPr>
            </w:pPr>
            <w:r>
              <w:rPr>
                <w:rFonts w:ascii="Times New Roman" w:cs="Times New Roman" w:eastAsia="Times New Roman" w:hAnsi="Times New Roman"/>
                <w:sz w:val="18"/>
                <w:szCs w:val="18"/>
                <w:color w:val="auto"/>
                <w:w w:val="97"/>
              </w:rPr>
              <w:t>(651) 466-6309</w:t>
            </w:r>
          </w:p>
        </w:tc>
        <w:tc>
          <w:tcPr>
            <w:tcW w:w="3360" w:type="dxa"/>
            <w:vAlign w:val="bottom"/>
          </w:tcPr>
          <w:p>
            <w:pPr>
              <w:spacing w:after="0"/>
              <w:rPr>
                <w:sz w:val="18"/>
                <w:szCs w:val="18"/>
                <w:color w:val="auto"/>
              </w:rPr>
            </w:pPr>
          </w:p>
        </w:tc>
      </w:tr>
      <w:tr>
        <w:trPr>
          <w:trHeight w:val="228"/>
        </w:trPr>
        <w:tc>
          <w:tcPr>
            <w:tcW w:w="7880" w:type="dxa"/>
            <w:vAlign w:val="bottom"/>
            <w:gridSpan w:val="2"/>
          </w:tcPr>
          <w:p>
            <w:pPr>
              <w:jc w:val="center"/>
              <w:ind w:left="3273"/>
              <w:spacing w:after="0"/>
              <w:rPr>
                <w:sz w:val="20"/>
                <w:szCs w:val="20"/>
                <w:color w:val="auto"/>
              </w:rPr>
            </w:pPr>
            <w:r>
              <w:rPr>
                <w:rFonts w:ascii="Times New Roman" w:cs="Times New Roman" w:eastAsia="Times New Roman" w:hAnsi="Times New Roman"/>
                <w:sz w:val="18"/>
                <w:szCs w:val="18"/>
                <w:color w:val="auto"/>
                <w:w w:val="97"/>
              </w:rPr>
              <w:t>(Name, address and telephone number of agent for service)</w:t>
            </w:r>
          </w:p>
        </w:tc>
        <w:tc>
          <w:tcPr>
            <w:tcW w:w="3360" w:type="dxa"/>
            <w:vAlign w:val="bottom"/>
          </w:tcPr>
          <w:p>
            <w:pPr>
              <w:spacing w:after="0"/>
              <w:rPr>
                <w:sz w:val="19"/>
                <w:szCs w:val="19"/>
                <w:color w:val="auto"/>
              </w:rPr>
            </w:pPr>
          </w:p>
        </w:tc>
      </w:tr>
    </w:tbl>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FTAI Aviation Ltd.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(Issuer with respect to the Securities)</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5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Cayman Islands</w:t>
            </w:r>
          </w:p>
        </w:tc>
        <w:tc>
          <w:tcPr>
            <w:tcW w:w="1400" w:type="dxa"/>
            <w:vAlign w:val="bottom"/>
            <w:tcBorders>
              <w:top w:val="single" w:sz="8" w:color="auto"/>
              <w:bottom w:val="single" w:sz="8" w:color="auto"/>
            </w:tcBorders>
          </w:tcPr>
          <w:p>
            <w:pPr>
              <w:spacing w:after="0"/>
              <w:rPr>
                <w:sz w:val="19"/>
                <w:szCs w:val="19"/>
                <w:color w:val="auto"/>
              </w:rPr>
            </w:pPr>
          </w:p>
        </w:tc>
        <w:tc>
          <w:tcPr>
            <w:tcW w:w="4200" w:type="dxa"/>
            <w:vAlign w:val="bottom"/>
            <w:tcBorders>
              <w:top w:val="single" w:sz="8" w:color="auto"/>
              <w:bottom w:val="single" w:sz="8" w:color="auto"/>
              <w:right w:val="single" w:sz="8" w:color="auto"/>
            </w:tcBorders>
          </w:tcPr>
          <w:p>
            <w:pPr>
              <w:jc w:val="right"/>
              <w:ind w:right="2292"/>
              <w:spacing w:after="0"/>
              <w:rPr>
                <w:sz w:val="20"/>
                <w:szCs w:val="20"/>
                <w:color w:val="auto"/>
              </w:rPr>
            </w:pPr>
            <w:r>
              <w:rPr>
                <w:rFonts w:ascii="Times New Roman" w:cs="Times New Roman" w:eastAsia="Times New Roman" w:hAnsi="Times New Roman"/>
                <w:sz w:val="18"/>
                <w:szCs w:val="18"/>
                <w:color w:val="auto"/>
              </w:rPr>
              <w:t>98-1420784</w:t>
            </w:r>
          </w:p>
        </w:tc>
      </w:tr>
      <w:tr>
        <w:trPr>
          <w:trHeight w:val="217"/>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(State or other jurisdiction of incorporation or organization)</w:t>
            </w:r>
          </w:p>
        </w:tc>
        <w:tc>
          <w:tcPr>
            <w:tcW w:w="140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tcPr>
          <w:p>
            <w:pPr>
              <w:jc w:val="center"/>
              <w:ind w:right="133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217"/>
        </w:trPr>
        <w:tc>
          <w:tcPr>
            <w:tcW w:w="564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tcPr>
          <w:p>
            <w:pPr>
              <w:spacing w:after="0"/>
              <w:rPr>
                <w:sz w:val="18"/>
                <w:szCs w:val="18"/>
                <w:color w:val="auto"/>
              </w:rPr>
            </w:pPr>
          </w:p>
        </w:tc>
      </w:tr>
      <w:tr>
        <w:trPr>
          <w:trHeight w:val="217"/>
        </w:trPr>
        <w:tc>
          <w:tcPr>
            <w:tcW w:w="7040" w:type="dxa"/>
            <w:vAlign w:val="bottom"/>
            <w:tcBorders>
              <w:bottom w:val="single" w:sz="8" w:color="auto"/>
            </w:tcBorders>
            <w:gridSpan w:val="2"/>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r>
      <w:tr>
        <w:trPr>
          <w:trHeight w:val="192"/>
        </w:trPr>
        <w:tc>
          <w:tcPr>
            <w:tcW w:w="5640" w:type="dxa"/>
            <w:vAlign w:val="bottom"/>
            <w:tcBorders>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4"/>
                <w:szCs w:val="14"/>
                <w:color w:val="auto"/>
              </w:rPr>
              <w:t>405 W 13</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St.,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Floor</w:t>
            </w:r>
          </w:p>
        </w:tc>
        <w:tc>
          <w:tcPr>
            <w:tcW w:w="1400" w:type="dxa"/>
            <w:vAlign w:val="bottom"/>
          </w:tcPr>
          <w:p>
            <w:pPr>
              <w:spacing w:after="0"/>
              <w:rPr>
                <w:sz w:val="16"/>
                <w:szCs w:val="16"/>
                <w:color w:val="auto"/>
              </w:rPr>
            </w:pPr>
          </w:p>
        </w:tc>
        <w:tc>
          <w:tcPr>
            <w:tcW w:w="4200" w:type="dxa"/>
            <w:vAlign w:val="bottom"/>
            <w:tcBorders>
              <w:right w:val="single" w:sz="8" w:color="auto"/>
            </w:tcBorders>
          </w:tcPr>
          <w:p>
            <w:pPr>
              <w:jc w:val="right"/>
              <w:ind w:right="2512"/>
              <w:spacing w:after="0" w:line="193" w:lineRule="exact"/>
              <w:rPr>
                <w:sz w:val="20"/>
                <w:szCs w:val="20"/>
                <w:color w:val="auto"/>
              </w:rPr>
            </w:pPr>
            <w:r>
              <w:rPr>
                <w:rFonts w:ascii="Times New Roman" w:cs="Times New Roman" w:eastAsia="Times New Roman" w:hAnsi="Times New Roman"/>
                <w:sz w:val="18"/>
                <w:szCs w:val="18"/>
                <w:color w:val="auto"/>
              </w:rPr>
              <w:t>10014</w:t>
            </w:r>
          </w:p>
        </w:tc>
      </w:tr>
      <w:tr>
        <w:trPr>
          <w:trHeight w:val="236"/>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New York, NY</w:t>
            </w:r>
          </w:p>
        </w:tc>
        <w:tc>
          <w:tcPr>
            <w:tcW w:w="140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spacing w:after="0"/>
              <w:rPr>
                <w:sz w:val="20"/>
                <w:szCs w:val="20"/>
                <w:color w:val="auto"/>
              </w:rPr>
            </w:pPr>
          </w:p>
        </w:tc>
      </w:tr>
      <w:tr>
        <w:trPr>
          <w:trHeight w:val="217"/>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140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tcPr>
          <w:p>
            <w:pPr>
              <w:jc w:val="center"/>
              <w:ind w:right="1332"/>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01"/>
        </w:trPr>
        <w:tc>
          <w:tcPr>
            <w:tcW w:w="7040" w:type="dxa"/>
            <w:vAlign w:val="bottom"/>
            <w:gridSpan w:val="2"/>
          </w:tcPr>
          <w:p>
            <w:pPr>
              <w:ind w:left="5060"/>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4200" w:type="dxa"/>
            <w:vAlign w:val="bottom"/>
          </w:tcPr>
          <w:p>
            <w:pPr>
              <w:spacing w:after="0"/>
              <w:rPr>
                <w:sz w:val="24"/>
                <w:szCs w:val="24"/>
                <w:color w:val="auto"/>
              </w:rPr>
            </w:pPr>
          </w:p>
        </w:tc>
      </w:tr>
      <w:tr>
        <w:trPr>
          <w:trHeight w:val="230"/>
        </w:trPr>
        <w:tc>
          <w:tcPr>
            <w:tcW w:w="7040" w:type="dxa"/>
            <w:vAlign w:val="bottom"/>
            <w:gridSpan w:val="2"/>
          </w:tcPr>
          <w:p>
            <w:pPr>
              <w:ind w:left="4440"/>
              <w:spacing w:after="0"/>
              <w:rPr>
                <w:sz w:val="20"/>
                <w:szCs w:val="20"/>
                <w:color w:val="auto"/>
              </w:rPr>
            </w:pPr>
            <w:r>
              <w:rPr>
                <w:rFonts w:ascii="Times New Roman" w:cs="Times New Roman" w:eastAsia="Times New Roman" w:hAnsi="Times New Roman"/>
                <w:sz w:val="18"/>
                <w:szCs w:val="18"/>
                <w:b w:val="1"/>
                <w:bCs w:val="1"/>
                <w:color w:val="auto"/>
              </w:rPr>
              <w:t>(Title of the Indenture Securities)</w:t>
            </w:r>
          </w:p>
        </w:tc>
        <w:tc>
          <w:tcPr>
            <w:tcW w:w="4200" w:type="dxa"/>
            <w:vAlign w:val="bottom"/>
          </w:tcPr>
          <w:p>
            <w:pPr>
              <w:spacing w:after="0"/>
              <w:rPr>
                <w:sz w:val="20"/>
                <w:szCs w:val="20"/>
                <w:color w:val="auto"/>
              </w:rPr>
            </w:pPr>
          </w:p>
        </w:tc>
      </w:tr>
      <w:tr>
        <w:trPr>
          <w:trHeight w:val="291"/>
        </w:trPr>
        <w:tc>
          <w:tcPr>
            <w:tcW w:w="5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r>
        <w:trPr>
          <w:trHeight w:val="158"/>
        </w:trPr>
        <w:tc>
          <w:tcPr>
            <w:tcW w:w="56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200" w:type="dxa"/>
            <w:vAlign w:val="bottom"/>
            <w:tcBorders>
              <w:bottom w:val="single" w:sz="8" w:color="auto"/>
            </w:tcBorders>
          </w:tcPr>
          <w:p>
            <w:pPr>
              <w:spacing w:after="0"/>
              <w:rPr>
                <w:sz w:val="13"/>
                <w:szCs w:val="13"/>
                <w:color w:val="auto"/>
              </w:rPr>
            </w:pPr>
          </w:p>
        </w:tc>
      </w:tr>
      <w:tr>
        <w:trPr>
          <w:trHeight w:val="164"/>
        </w:trPr>
        <w:tc>
          <w:tcPr>
            <w:tcW w:w="56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42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96" w:right="339" w:bottom="1440" w:gutter="0" w:footer="0" w:header="0"/>
        </w:sectPr>
      </w:pPr>
    </w:p>
    <w:bookmarkStart w:id="76" w:name="page77"/>
    <w:bookmarkEnd w:id="76"/>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t>FORM T-1</w:t>
      </w:r>
    </w:p>
    <w:p>
      <w:pPr>
        <w:spacing w:after="0" w:line="21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GENERAL INFORMATION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Furnish the following information as to the Trustee.</w:t>
      </w:r>
    </w:p>
    <w:p>
      <w:pPr>
        <w:spacing w:after="0" w:line="217" w:lineRule="exact"/>
        <w:rPr>
          <w:sz w:val="20"/>
          <w:szCs w:val="20"/>
          <w:color w:val="auto"/>
        </w:rPr>
      </w:pPr>
    </w:p>
    <w:p>
      <w:pPr>
        <w:ind w:left="1900" w:right="3860" w:hanging="946"/>
        <w:spacing w:after="0" w:line="255" w:lineRule="auto"/>
        <w:tabs>
          <w:tab w:leader="none" w:pos="126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Name and address of each examining or supervising authority to which it is subject. </w:t>
      </w:r>
      <w:r>
        <w:rPr>
          <w:rFonts w:ascii="Times New Roman" w:cs="Times New Roman" w:eastAsia="Times New Roman" w:hAnsi="Times New Roman"/>
          <w:sz w:val="18"/>
          <w:szCs w:val="18"/>
          <w:color w:val="auto"/>
        </w:rPr>
        <w:t>Comptroller of the Currency</w:t>
      </w:r>
    </w:p>
    <w:p>
      <w:pPr>
        <w:spacing w:after="0" w:line="1" w:lineRule="exact"/>
        <w:rPr>
          <w:rFonts w:ascii="Times New Roman" w:cs="Times New Roman" w:eastAsia="Times New Roman" w:hAnsi="Times New Roman"/>
          <w:sz w:val="18"/>
          <w:szCs w:val="18"/>
          <w:color w:val="auto"/>
        </w:rPr>
      </w:pPr>
    </w:p>
    <w:p>
      <w:pPr>
        <w:ind w:left="1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Washington, D.C.</w:t>
      </w:r>
    </w:p>
    <w:p>
      <w:pPr>
        <w:spacing w:after="0" w:line="194" w:lineRule="exact"/>
        <w:rPr>
          <w:rFonts w:ascii="Times New Roman" w:cs="Times New Roman" w:eastAsia="Times New Roman" w:hAnsi="Times New Roman"/>
          <w:sz w:val="18"/>
          <w:szCs w:val="18"/>
          <w:color w:val="auto"/>
        </w:rPr>
      </w:pPr>
    </w:p>
    <w:p>
      <w:pPr>
        <w:ind w:left="1280" w:hanging="326"/>
        <w:spacing w:after="0"/>
        <w:tabs>
          <w:tab w:leader="none" w:pos="1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Whether it is authorized to exercise corporate trust powers.</w:t>
      </w:r>
    </w:p>
    <w:p>
      <w:pPr>
        <w:spacing w:after="0" w:line="200" w:lineRule="exact"/>
        <w:rPr>
          <w:sz w:val="20"/>
          <w:szCs w:val="20"/>
          <w:color w:val="auto"/>
        </w:rPr>
      </w:pPr>
    </w:p>
    <w:p>
      <w:pPr>
        <w:spacing w:after="0" w:line="225" w:lineRule="exact"/>
        <w:rPr>
          <w:sz w:val="20"/>
          <w:szCs w:val="20"/>
          <w:color w:val="auto"/>
        </w:rPr>
      </w:pPr>
    </w:p>
    <w:p>
      <w:pPr>
        <w:ind w:left="960" w:right="1760" w:hanging="1264"/>
        <w:spacing w:after="0" w:line="271"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 xml:space="preserve">AFFILIATIONS WITH THE OBLIGOR. </w:t>
      </w:r>
      <w:r>
        <w:rPr>
          <w:rFonts w:ascii="Times New Roman" w:cs="Times New Roman" w:eastAsia="Times New Roman" w:hAnsi="Times New Roman"/>
          <w:sz w:val="18"/>
          <w:szCs w:val="18"/>
          <w:i w:val="1"/>
          <w:iCs w:val="1"/>
          <w:color w:val="auto"/>
        </w:rPr>
        <w:t>If the obligor is an affiliate of the Trustee, describe each such affiliation.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65" w:lineRule="exact"/>
        <w:rPr>
          <w:sz w:val="20"/>
          <w:szCs w:val="20"/>
          <w:color w:val="auto"/>
        </w:rPr>
      </w:pPr>
    </w:p>
    <w:p>
      <w:pPr>
        <w:ind w:left="960" w:right="300" w:hanging="948"/>
        <w:spacing w:after="0" w:line="271"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Items 3-15</w:t>
      </w:r>
      <w:r>
        <w:rPr>
          <w:sz w:val="20"/>
          <w:szCs w:val="20"/>
          <w:color w:val="auto"/>
        </w:rPr>
        <w:tab/>
      </w:r>
      <w:r>
        <w:rPr>
          <w:rFonts w:ascii="Times New Roman" w:cs="Times New Roman" w:eastAsia="Times New Roman" w:hAnsi="Times New Roman"/>
          <w:sz w:val="18"/>
          <w:szCs w:val="18"/>
          <w:i w:val="1"/>
          <w:iCs w:val="1"/>
          <w:color w:val="auto"/>
        </w:rPr>
        <w:t>Items 3-15 are not applicable because to the best of the Trustee's knowledge, the obligor is not in default under any Indenture for which the Trustee acts as Trustee.</w:t>
      </w:r>
    </w:p>
    <w:p>
      <w:pPr>
        <w:spacing w:after="0" w:line="16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 xml:space="preserve">LIST OF EXHIBITS: </w:t>
      </w:r>
      <w:r>
        <w:rPr>
          <w:rFonts w:ascii="Times New Roman" w:cs="Times New Roman" w:eastAsia="Times New Roman" w:hAnsi="Times New Roman"/>
          <w:sz w:val="16"/>
          <w:szCs w:val="16"/>
          <w:i w:val="1"/>
          <w:iCs w:val="1"/>
          <w:color w:val="auto"/>
        </w:rPr>
        <w:t>List below all exhibits filed as a part of this statement of eligibility and qualification.</w:t>
      </w:r>
    </w:p>
    <w:p>
      <w:pPr>
        <w:spacing w:after="0" w:line="217" w:lineRule="exact"/>
        <w:rPr>
          <w:sz w:val="20"/>
          <w:szCs w:val="20"/>
          <w:color w:val="auto"/>
        </w:rPr>
      </w:pPr>
    </w:p>
    <w:p>
      <w:pPr>
        <w:ind w:left="1280" w:hanging="326"/>
        <w:spacing w:after="0"/>
        <w:tabs>
          <w:tab w:leader="none" w:pos="12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Articles of Association of the Trustee, attached as Exhibit 1.</w:t>
      </w:r>
    </w:p>
    <w:p>
      <w:pPr>
        <w:spacing w:after="0" w:line="214" w:lineRule="exact"/>
        <w:rPr>
          <w:rFonts w:ascii="Times New Roman" w:cs="Times New Roman" w:eastAsia="Times New Roman" w:hAnsi="Times New Roman"/>
          <w:sz w:val="18"/>
          <w:szCs w:val="18"/>
          <w:color w:val="auto"/>
        </w:rPr>
      </w:pPr>
    </w:p>
    <w:p>
      <w:pPr>
        <w:ind w:left="1280" w:hanging="326"/>
        <w:spacing w:after="0"/>
        <w:tabs>
          <w:tab w:leader="none" w:pos="12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authority of the Trustee to commence business, attached as Exhibit 2.</w:t>
      </w:r>
    </w:p>
    <w:p>
      <w:pPr>
        <w:spacing w:after="0" w:line="214" w:lineRule="exact"/>
        <w:rPr>
          <w:rFonts w:ascii="Times New Roman" w:cs="Times New Roman" w:eastAsia="Times New Roman" w:hAnsi="Times New Roman"/>
          <w:sz w:val="18"/>
          <w:szCs w:val="18"/>
          <w:color w:val="auto"/>
        </w:rPr>
      </w:pPr>
    </w:p>
    <w:p>
      <w:pPr>
        <w:ind w:left="1280" w:hanging="326"/>
        <w:spacing w:after="0"/>
        <w:tabs>
          <w:tab w:leader="none" w:pos="12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authorization of the Trustee to exercise corporate trust powers, included as Exhibit 2.</w:t>
      </w:r>
    </w:p>
    <w:p>
      <w:pPr>
        <w:spacing w:after="0" w:line="214" w:lineRule="exact"/>
        <w:rPr>
          <w:rFonts w:ascii="Times New Roman" w:cs="Times New Roman" w:eastAsia="Times New Roman" w:hAnsi="Times New Roman"/>
          <w:sz w:val="18"/>
          <w:szCs w:val="18"/>
          <w:color w:val="auto"/>
        </w:rPr>
      </w:pPr>
    </w:p>
    <w:p>
      <w:pPr>
        <w:ind w:left="1280" w:hanging="326"/>
        <w:spacing w:after="0"/>
        <w:tabs>
          <w:tab w:leader="none" w:pos="12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existing bylaws of the Trustee, attached as Exhibit 4.</w:t>
      </w:r>
    </w:p>
    <w:p>
      <w:pPr>
        <w:spacing w:after="0" w:line="214" w:lineRule="exact"/>
        <w:rPr>
          <w:rFonts w:ascii="Times New Roman" w:cs="Times New Roman" w:eastAsia="Times New Roman" w:hAnsi="Times New Roman"/>
          <w:sz w:val="18"/>
          <w:szCs w:val="18"/>
          <w:color w:val="auto"/>
        </w:rPr>
      </w:pPr>
    </w:p>
    <w:p>
      <w:pPr>
        <w:ind w:left="1280" w:hanging="326"/>
        <w:spacing w:after="0"/>
        <w:tabs>
          <w:tab w:leader="none" w:pos="12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Indenture referred to in Item 4. Not applicable.</w:t>
      </w:r>
    </w:p>
    <w:p>
      <w:pPr>
        <w:spacing w:after="0" w:line="214" w:lineRule="exact"/>
        <w:rPr>
          <w:rFonts w:ascii="Times New Roman" w:cs="Times New Roman" w:eastAsia="Times New Roman" w:hAnsi="Times New Roman"/>
          <w:sz w:val="18"/>
          <w:szCs w:val="18"/>
          <w:color w:val="auto"/>
        </w:rPr>
      </w:pPr>
    </w:p>
    <w:p>
      <w:pPr>
        <w:ind w:left="1280" w:hanging="326"/>
        <w:spacing w:after="0"/>
        <w:tabs>
          <w:tab w:leader="none" w:pos="12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Trustee required by Section 321(b) of the Trust Indenture Act of 1939, attached as Exhibit 6.</w:t>
      </w:r>
    </w:p>
    <w:p>
      <w:pPr>
        <w:spacing w:after="0" w:line="214" w:lineRule="exact"/>
        <w:rPr>
          <w:rFonts w:ascii="Times New Roman" w:cs="Times New Roman" w:eastAsia="Times New Roman" w:hAnsi="Times New Roman"/>
          <w:sz w:val="18"/>
          <w:szCs w:val="18"/>
          <w:color w:val="auto"/>
        </w:rPr>
      </w:pPr>
    </w:p>
    <w:p>
      <w:pPr>
        <w:ind w:left="1280" w:hanging="326"/>
        <w:spacing w:after="0" w:line="269" w:lineRule="auto"/>
        <w:tabs>
          <w:tab w:leader="none" w:pos="12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Condition of the Trustee as of December 31, 2025, published pursuant to law or the requirements of its supervising or examining authority, attached as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219075</wp:posOffset>
            </wp:positionV>
            <wp:extent cx="713549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040"/>
          </w:cols>
          <w:pgMar w:left="320" w:top="119" w:right="539" w:bottom="1440" w:gutter="0" w:footer="0" w:header="0"/>
        </w:sectPr>
      </w:pPr>
    </w:p>
    <w:bookmarkStart w:id="77" w:name="page78"/>
    <w:bookmarkEnd w:id="7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7" w:lineRule="exact"/>
        <w:rPr>
          <w:sz w:val="20"/>
          <w:szCs w:val="20"/>
          <w:color w:val="auto"/>
        </w:rPr>
      </w:pPr>
    </w:p>
    <w:p>
      <w:pPr>
        <w:ind w:firstLine="632"/>
        <w:spacing w:after="0" w:line="252" w:lineRule="auto"/>
        <w:rPr>
          <w:sz w:val="20"/>
          <w:szCs w:val="20"/>
          <w:color w:val="auto"/>
        </w:rPr>
      </w:pPr>
      <w:r>
        <w:rPr>
          <w:rFonts w:ascii="Times New Roman" w:cs="Times New Roman" w:eastAsia="Times New Roman" w:hAnsi="Times New Roman"/>
          <w:sz w:val="18"/>
          <w:szCs w:val="18"/>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27th of April, 2026.</w:t>
      </w:r>
    </w:p>
    <w:p>
      <w:pPr>
        <w:spacing w:after="0" w:line="185" w:lineRule="exact"/>
        <w:rPr>
          <w:sz w:val="20"/>
          <w:szCs w:val="20"/>
          <w:color w:val="auto"/>
        </w:rPr>
      </w:pPr>
    </w:p>
    <w:p>
      <w:pPr>
        <w:ind w:left="3940"/>
        <w:spacing w:after="0"/>
        <w:tabs>
          <w:tab w:leader="none" w:pos="4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Joshua A.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22225</wp:posOffset>
            </wp:positionV>
            <wp:extent cx="1781810"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1781810" cy="16510"/>
                    </a:xfrm>
                    <a:prstGeom prst="rect">
                      <a:avLst/>
                    </a:prstGeom>
                    <a:noFill/>
                  </pic:spPr>
                </pic:pic>
              </a:graphicData>
            </a:graphic>
          </wp:anchor>
        </w:drawing>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Joshua A. Hahn</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135495"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060"/>
          </w:cols>
          <w:pgMar w:left="320" w:top="119" w:right="5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 S. BANK TRUST COMPANY, NATIONAL ASSOCIATION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 of organizing an association (the “Association”) to perform any lawful activities of national banks, the undersigned enter into the following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of Association: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title of this Association shall be U. S. Bank Trust Company, National Association.</w:t>
      </w:r>
    </w:p>
    <w:p>
      <w:pPr>
        <w:spacing w:after="0" w:line="2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main office of the Association shall be in the city of Portland, county of Multnomah, state of Oregon. The business of the Association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to fiduciary powers and the support of activities incidental to the exercise of those powers. The Association may not expand or alter its business beyond that stated in this article without the prior approval of the Comptroller of the Currency.</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board of directors of the Association shall consist of not less than five nor more than twenty-five persons, the exact number to be fixed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jc w:val="both"/>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There shall be an annual meeting of the shareholders to elect directors and transact whatever other business may be brought before the meeting.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18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6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The authorized amount of capital stock of the Association shall be 1,000,000 shares of common stock of the par value of ten dollars ($10) each;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said capital stock may be increased or decreased from time to time, according to the provisions of the laws of the United States. The Association shall have only one class of capital stock.</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80" w:name="page81"/>
    <w:bookmarkEnd w:id="80"/>
    <w:p>
      <w:pPr>
        <w:jc w:val="both"/>
        <w:spacing w:after="0" w:line="269" w:lineRule="auto"/>
        <w:rPr>
          <w:sz w:val="20"/>
          <w:szCs w:val="20"/>
          <w:color w:val="auto"/>
        </w:rPr>
      </w:pPr>
      <w:r>
        <w:rPr>
          <w:rFonts w:ascii="Times New Roman" w:cs="Times New Roman" w:eastAsia="Times New Roman" w:hAnsi="Times New Roman"/>
          <w:sz w:val="18"/>
          <w:szCs w:val="18"/>
          <w:color w:val="auto"/>
        </w:rPr>
        <w:t>Unless otherwise specified in the Articles of Association or required by law, all shares of voting stock shall be voted together as a class, on any matters requiring shareholder approval.</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SIXTH. </w:t>
      </w:r>
      <w:r>
        <w:rPr>
          <w:rFonts w:ascii="Times New Roman" w:cs="Times New Roman" w:eastAsia="Times New Roman" w:hAnsi="Times New Roman"/>
          <w:sz w:val="18"/>
          <w:szCs w:val="18"/>
          <w:color w:val="auto"/>
        </w:rPr>
        <w:t>The board of directors shall appoint one of its members president of this Association and one of its members chairperson of the board and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shall have the power to:</w:t>
      </w:r>
    </w:p>
    <w:p>
      <w:pPr>
        <w:spacing w:after="0" w:line="215" w:lineRule="exact"/>
        <w:rPr>
          <w:sz w:val="20"/>
          <w:szCs w:val="20"/>
          <w:color w:val="auto"/>
        </w:rPr>
      </w:pPr>
    </w:p>
    <w:p>
      <w:pPr>
        <w:ind w:left="640" w:hanging="635"/>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the duties of the officers, employees, and agents of the Association.</w:t>
      </w:r>
    </w:p>
    <w:p>
      <w:pPr>
        <w:spacing w:after="0" w:line="214" w:lineRule="exact"/>
        <w:rPr>
          <w:rFonts w:ascii="Times New Roman" w:cs="Times New Roman" w:eastAsia="Times New Roman" w:hAnsi="Times New Roman"/>
          <w:sz w:val="18"/>
          <w:szCs w:val="18"/>
          <w:color w:val="auto"/>
        </w:rPr>
      </w:pPr>
    </w:p>
    <w:p>
      <w:pPr>
        <w:ind w:left="620" w:hanging="615"/>
        <w:spacing w:after="0"/>
        <w:tabs>
          <w:tab w:leader="none" w:pos="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 performance of its duties, but not the responsibility for its duties, to the officers, employees, and agents of the Association.</w:t>
      </w:r>
    </w:p>
    <w:p>
      <w:pPr>
        <w:spacing w:after="0" w:line="227" w:lineRule="exact"/>
        <w:rPr>
          <w:rFonts w:ascii="Times New Roman" w:cs="Times New Roman" w:eastAsia="Times New Roman" w:hAnsi="Times New Roman"/>
          <w:sz w:val="18"/>
          <w:szCs w:val="18"/>
          <w:color w:val="auto"/>
        </w:rPr>
      </w:pPr>
    </w:p>
    <w:p>
      <w:pPr>
        <w:ind w:left="620" w:hanging="615"/>
        <w:spacing w:after="0" w:line="269" w:lineRule="auto"/>
        <w:tabs>
          <w:tab w:leader="none" w:pos="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 the compensation and enter employment contracts with its officers and employees upon reasonable terms and conditions consistent with applicable law.</w:t>
      </w:r>
    </w:p>
    <w:p>
      <w:pPr>
        <w:spacing w:after="0" w:line="181"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Dismiss officers and employees.</w:t>
      </w:r>
    </w:p>
    <w:p>
      <w:pPr>
        <w:spacing w:after="0" w:line="214"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bonds from officers and employees and to fix the penalty thereof.</w:t>
      </w:r>
    </w:p>
    <w:p>
      <w:pPr>
        <w:spacing w:after="0" w:line="214" w:lineRule="exact"/>
        <w:rPr>
          <w:rFonts w:ascii="Times New Roman" w:cs="Times New Roman" w:eastAsia="Times New Roman" w:hAnsi="Times New Roman"/>
          <w:sz w:val="18"/>
          <w:szCs w:val="18"/>
          <w:color w:val="auto"/>
        </w:rPr>
      </w:pPr>
    </w:p>
    <w:p>
      <w:pPr>
        <w:ind w:left="620" w:hanging="615"/>
        <w:spacing w:after="0"/>
        <w:tabs>
          <w:tab w:leader="none" w:pos="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written policies authorized by the Association's management or committees of the board.</w:t>
      </w:r>
    </w:p>
    <w:p>
      <w:pPr>
        <w:spacing w:after="0" w:line="227" w:lineRule="exact"/>
        <w:rPr>
          <w:rFonts w:ascii="Times New Roman" w:cs="Times New Roman" w:eastAsia="Times New Roman" w:hAnsi="Times New Roman"/>
          <w:sz w:val="18"/>
          <w:szCs w:val="18"/>
          <w:color w:val="auto"/>
        </w:rPr>
      </w:pPr>
    </w:p>
    <w:p>
      <w:pPr>
        <w:jc w:val="both"/>
        <w:ind w:left="620" w:hanging="615"/>
        <w:spacing w:after="0" w:line="256" w:lineRule="auto"/>
        <w:tabs>
          <w:tab w:leader="none" w:pos="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334" w:lineRule="exact"/>
        <w:rPr>
          <w:rFonts w:ascii="Times New Roman" w:cs="Times New Roman" w:eastAsia="Times New Roman" w:hAnsi="Times New Roman"/>
          <w:sz w:val="18"/>
          <w:szCs w:val="18"/>
          <w:color w:val="auto"/>
        </w:rPr>
      </w:pPr>
    </w:p>
    <w:p>
      <w:pPr>
        <w:ind w:left="5580" w:hanging="73"/>
        <w:spacing w:after="0"/>
        <w:tabs>
          <w:tab w:leader="none" w:pos="558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81" w:name="page82"/>
    <w:bookmarkEnd w:id="81"/>
    <w:p>
      <w:pPr>
        <w:ind w:left="620" w:hanging="615"/>
        <w:spacing w:after="0"/>
        <w:tabs>
          <w:tab w:leader="none" w:pos="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and administer the business and affairs of the Association.</w:t>
      </w:r>
    </w:p>
    <w:p>
      <w:pPr>
        <w:spacing w:after="0" w:line="214"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 initial Bylaws, not inconsistent with law or the Articles of Association, for managing the business and regulating the affairs of the Association.</w:t>
      </w:r>
    </w:p>
    <w:p>
      <w:pPr>
        <w:spacing w:after="0" w:line="237" w:lineRule="exact"/>
        <w:rPr>
          <w:rFonts w:ascii="Times New Roman" w:cs="Times New Roman" w:eastAsia="Times New Roman" w:hAnsi="Times New Roman"/>
          <w:sz w:val="16"/>
          <w:szCs w:val="16"/>
          <w:color w:val="auto"/>
        </w:rPr>
      </w:pPr>
    </w:p>
    <w:p>
      <w:pPr>
        <w:ind w:left="620" w:hanging="615"/>
        <w:spacing w:after="0"/>
        <w:tabs>
          <w:tab w:leader="none" w:pos="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repeal Bylaws, except to the extent that the Articles of Association reserve this power in whole or in part to the shareholders.</w:t>
      </w:r>
    </w:p>
    <w:p>
      <w:pPr>
        <w:spacing w:after="0" w:line="227" w:lineRule="exact"/>
        <w:rPr>
          <w:rFonts w:ascii="Times New Roman" w:cs="Times New Roman" w:eastAsia="Times New Roman" w:hAnsi="Times New Roman"/>
          <w:sz w:val="18"/>
          <w:szCs w:val="18"/>
          <w:color w:val="auto"/>
        </w:rPr>
      </w:pPr>
    </w:p>
    <w:p>
      <w:pPr>
        <w:ind w:left="620" w:hanging="615"/>
        <w:spacing w:after="0"/>
        <w:tabs>
          <w:tab w:leader="none" w:pos="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contracts.</w:t>
      </w:r>
    </w:p>
    <w:p>
      <w:pPr>
        <w:spacing w:after="0" w:line="227"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perform all acts that are legal for a board of directors to perform.</w:t>
      </w:r>
    </w:p>
    <w:p>
      <w:pPr>
        <w:spacing w:after="0" w:line="2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The board of directors shall have the power to change the location of the main office to any authorized branch within the limits of the city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EIGHTH. </w:t>
      </w:r>
      <w:r>
        <w:rPr>
          <w:rFonts w:ascii="Times New Roman" w:cs="Times New Roman" w:eastAsia="Times New Roman" w:hAnsi="Times New Roman"/>
          <w:sz w:val="18"/>
          <w:szCs w:val="18"/>
          <w:color w:val="auto"/>
        </w:rPr>
        <w:t>The corporate existence of this Association shall continue until termination according to the laws of the United States.</w:t>
      </w:r>
    </w:p>
    <w:p>
      <w:pPr>
        <w:spacing w:after="0" w:line="21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NINTH. </w:t>
      </w:r>
      <w:r>
        <w:rPr>
          <w:rFonts w:ascii="Times New Roman" w:cs="Times New Roman" w:eastAsia="Times New Roman" w:hAnsi="Times New Roman"/>
          <w:sz w:val="16"/>
          <w:szCs w:val="16"/>
          <w:color w:val="auto"/>
        </w:rPr>
        <w:t>The board of directors of the Association, or any shareholder owning, in the aggregate, not less than 25 percent of the stock of the Association, 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TENTH. </w:t>
      </w:r>
      <w:r>
        <w:rPr>
          <w:rFonts w:ascii="Times New Roman" w:cs="Times New Roman" w:eastAsia="Times New Roman" w:hAnsi="Times New Roman"/>
          <w:sz w:val="18"/>
          <w:szCs w:val="18"/>
          <w:color w:val="auto"/>
        </w:rPr>
        <w:t>These Articles of Association may be amended at any regular or special meeting of the shareholders by the affirmative vote of the holders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color w:val="auto"/>
        </w:rPr>
        <w:t xml:space="preserve">In witness whereof, we have hereunto set our hands this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28"/>
          <w:szCs w:val="28"/>
          <w:u w:val="single" w:color="auto"/>
          <w:color w:val="auto"/>
          <w:vertAlign w:val="superscript"/>
        </w:rPr>
        <w:t>th</w:t>
      </w:r>
      <w:r>
        <w:rPr>
          <w:rFonts w:ascii="Times New Roman" w:cs="Times New Roman" w:eastAsia="Times New Roman" w:hAnsi="Times New Roman"/>
          <w:sz w:val="17"/>
          <w:szCs w:val="17"/>
          <w:color w:val="auto"/>
        </w:rPr>
        <w:t xml:space="preserve"> of June,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2623820</wp:posOffset>
            </wp:positionV>
            <wp:extent cx="713549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7135495" cy="1651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-77470</wp:posOffset>
            </wp:positionV>
            <wp:extent cx="279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80645</wp:posOffset>
            </wp:positionV>
            <wp:extent cx="1823720" cy="23088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1823720" cy="2308860"/>
                    </a:xfrm>
                    <a:prstGeom prst="rect">
                      <a:avLst/>
                    </a:prstGeom>
                    <a:noFill/>
                  </pic:spPr>
                </pic:pic>
              </a:graphicData>
            </a:graphic>
          </wp:anchor>
        </w:drawing>
      </w:r>
    </w:p>
    <w:p>
      <w:pPr>
        <w:sectPr>
          <w:pgSz w:w="11900" w:h="16838" w:orient="portrait"/>
          <w:cols w:equalWidth="0" w:num="1">
            <w:col w:w="10139"/>
          </w:cols>
          <w:pgMar w:left="320" w:top="164" w:right="1440"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163830</wp:posOffset>
            </wp:positionV>
            <wp:extent cx="7135495" cy="635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7135495" cy="635762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84" w:name="page85"/>
    <w:bookmarkEnd w:id="84"/>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4</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BYLAWS</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Meetings of Shareholders</w:t>
      </w:r>
    </w:p>
    <w:p>
      <w:pPr>
        <w:spacing w:after="0" w:line="197"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 Every such special meeting, unless otherwise provided by law, shall be called upon not less than ten (10) days nor more than sixty (60) days prior notice stating the purpose of the meeting.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Nominations for Directors</w:t>
      </w:r>
      <w:r>
        <w:rPr>
          <w:rFonts w:ascii="Times New Roman" w:cs="Times New Roman" w:eastAsia="Times New Roman" w:hAnsi="Times New Roman"/>
          <w:sz w:val="18"/>
          <w:szCs w:val="18"/>
          <w:color w:val="auto"/>
        </w:rPr>
        <w:t>. Nominations for election to the Board may be made by the Board or by any shareholder.</w:t>
      </w:r>
    </w:p>
    <w:p>
      <w:pPr>
        <w:spacing w:after="0" w:line="215"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68"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The record date for determining shareholders entitled to notice and to vote at any meeting will be thirty days before the date of such meeting, unless otherwise determined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219075</wp:posOffset>
            </wp:positionV>
            <wp:extent cx="713549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5" w:name="page86"/>
    <w:bookmarkEnd w:id="85"/>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Quorum and Voting</w:t>
      </w:r>
      <w:r>
        <w:rPr>
          <w:rFonts w:ascii="Times New Roman" w:cs="Times New Roman" w:eastAsia="Times New Roman" w:hAnsi="Times New Roman"/>
          <w:sz w:val="18"/>
          <w:szCs w:val="18"/>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185"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Waiver and Consent</w:t>
      </w:r>
      <w:r>
        <w:rPr>
          <w:rFonts w:ascii="Times New Roman" w:cs="Times New Roman" w:eastAsia="Times New Roman" w:hAnsi="Times New Roman"/>
          <w:sz w:val="18"/>
          <w:szCs w:val="18"/>
          <w:color w:val="auto"/>
        </w:rPr>
        <w:t>. The shareholders may act without notice or a meeting by a unanimous written consent by all shareholders.</w:t>
      </w:r>
    </w:p>
    <w:p>
      <w:pPr>
        <w:spacing w:after="0" w:line="215"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Remote Meetings</w:t>
      </w:r>
      <w:r>
        <w:rPr>
          <w:rFonts w:ascii="Times New Roman" w:cs="Times New Roman" w:eastAsia="Times New Roman" w:hAnsi="Times New Roman"/>
          <w:sz w:val="18"/>
          <w:szCs w:val="18"/>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197"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68"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The directors of this Association shall hold office for one year and until their successors are duly elected and qualified, or until their earlier resignation or removal.</w:t>
      </w:r>
    </w:p>
    <w:p>
      <w:pPr>
        <w:spacing w:after="0" w:line="168"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In addition to the foregoing, the Board shall have and may exercise all of the powers granted to or conferred upon it by the Articles of Association, the Bylaws and by law.</w:t>
      </w: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6" w:name="page87"/>
    <w:bookmarkEnd w:id="86"/>
    <w:p>
      <w:pPr>
        <w:ind w:right="20"/>
        <w:spacing w:after="0" w:line="247"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19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Organization Meeting</w:t>
      </w:r>
      <w:r>
        <w:rPr>
          <w:rFonts w:ascii="Times New Roman" w:cs="Times New Roman" w:eastAsia="Times New Roman" w:hAnsi="Times New Roman"/>
          <w:sz w:val="18"/>
          <w:szCs w:val="18"/>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2.6. </w:t>
      </w:r>
      <w:r>
        <w:rPr>
          <w:rFonts w:ascii="Times New Roman" w:cs="Times New Roman" w:eastAsia="Times New Roman" w:hAnsi="Times New Roman"/>
          <w:sz w:val="16"/>
          <w:szCs w:val="16"/>
          <w:u w:val="single" w:color="auto"/>
          <w:color w:val="auto"/>
        </w:rPr>
        <w:t>Regular Meetings</w:t>
      </w:r>
      <w:r>
        <w:rPr>
          <w:rFonts w:ascii="Times New Roman" w:cs="Times New Roman" w:eastAsia="Times New Roman" w:hAnsi="Times New Roman"/>
          <w:sz w:val="16"/>
          <w:szCs w:val="16"/>
          <w:color w:val="auto"/>
        </w:rPr>
        <w:t>. The regular meetings of the Board shall be held, without notice, as the Chairman or President may designate and deem suitable.</w:t>
      </w:r>
    </w:p>
    <w:p>
      <w:pPr>
        <w:spacing w:after="0" w:line="238"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6"/>
          <w:szCs w:val="16"/>
          <w:color w:val="auto"/>
        </w:rPr>
        <w:t xml:space="preserve">Section 2.7. </w:t>
      </w:r>
      <w:r>
        <w:rPr>
          <w:rFonts w:ascii="Times New Roman" w:cs="Times New Roman" w:eastAsia="Times New Roman" w:hAnsi="Times New Roman"/>
          <w:sz w:val="16"/>
          <w:szCs w:val="16"/>
          <w:u w:val="single" w:color="auto"/>
          <w:color w:val="auto"/>
        </w:rPr>
        <w:t>Special Meetings</w:t>
      </w:r>
      <w:r>
        <w:rPr>
          <w:rFonts w:ascii="Times New Roman" w:cs="Times New Roman" w:eastAsia="Times New Roman" w:hAnsi="Times New Roman"/>
          <w:sz w:val="16"/>
          <w:szCs w:val="16"/>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5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Quorum and Necessary Vote</w:t>
      </w:r>
      <w:r>
        <w:rPr>
          <w:rFonts w:ascii="Times New Roman" w:cs="Times New Roman" w:eastAsia="Times New Roman" w:hAnsi="Times New Roman"/>
          <w:sz w:val="18"/>
          <w:szCs w:val="18"/>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ind w:right="240"/>
        <w:spacing w:after="0" w:line="269"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234" w:lineRule="exact"/>
        <w:rPr>
          <w:sz w:val="20"/>
          <w:szCs w:val="20"/>
          <w:color w:val="auto"/>
        </w:rPr>
      </w:pPr>
    </w:p>
    <w:p>
      <w:pPr>
        <w:jc w:val="both"/>
        <w:ind w:right="320"/>
        <w:spacing w:after="0" w:line="25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Remote Meetings</w:t>
      </w:r>
      <w:r>
        <w:rPr>
          <w:rFonts w:ascii="Times New Roman" w:cs="Times New Roman" w:eastAsia="Times New Roman" w:hAnsi="Times New Roman"/>
          <w:sz w:val="18"/>
          <w:szCs w:val="18"/>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8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When any vacancy occurs among the directors, the remaining members of the Board may appoint a director to fill such vacancy at any regular meeting of the Board, or at a special meeting called for that purpose.</w:t>
      </w:r>
    </w:p>
    <w:p>
      <w:pPr>
        <w:spacing w:after="0" w:line="1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u w:val="single" w:color="auto"/>
          <w:color w:val="auto"/>
        </w:rPr>
        <w:t>Committees</w:t>
      </w:r>
    </w:p>
    <w:p>
      <w:pPr>
        <w:spacing w:after="0" w:line="197"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Advisory Board of Directors</w:t>
      </w:r>
      <w:r>
        <w:rPr>
          <w:rFonts w:ascii="Times New Roman" w:cs="Times New Roman" w:eastAsia="Times New Roman" w:hAnsi="Times New Roman"/>
          <w:sz w:val="18"/>
          <w:szCs w:val="18"/>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85"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6"/>
          <w:szCs w:val="16"/>
          <w:color w:val="auto"/>
        </w:rPr>
        <w:t xml:space="preserve">Section 3.2. </w:t>
      </w:r>
      <w:r>
        <w:rPr>
          <w:rFonts w:ascii="Times New Roman" w:cs="Times New Roman" w:eastAsia="Times New Roman" w:hAnsi="Times New Roman"/>
          <w:sz w:val="16"/>
          <w:szCs w:val="16"/>
          <w:u w:val="single" w:color="auto"/>
          <w:color w:val="auto"/>
        </w:rPr>
        <w:t>Trust Audit Committee</w:t>
      </w:r>
      <w:r>
        <w:rPr>
          <w:rFonts w:ascii="Times New Roman" w:cs="Times New Roman" w:eastAsia="Times New Roman" w:hAnsi="Times New Roman"/>
          <w:sz w:val="16"/>
          <w:szCs w:val="16"/>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of the financial holding company that is the ultimate parent of this Association, fulfilling the function of the trust audit committee: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sectPr>
      </w:pPr>
    </w:p>
    <w:bookmarkStart w:id="88" w:name="page89"/>
    <w:bookmarkEnd w:id="88"/>
    <w:p>
      <w:pPr>
        <w:ind w:left="960" w:hanging="6"/>
        <w:spacing w:after="0" w:line="269" w:lineRule="auto"/>
        <w:tabs>
          <w:tab w:leader="none" w:pos="120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not include any officers of the Association or an affiliate who participate significantly in the administration of the Association’s fiduciary activities; and</w:t>
      </w:r>
    </w:p>
    <w:p>
      <w:pPr>
        <w:spacing w:after="0" w:line="168" w:lineRule="exact"/>
        <w:rPr>
          <w:rFonts w:ascii="Times New Roman" w:cs="Times New Roman" w:eastAsia="Times New Roman" w:hAnsi="Times New Roman"/>
          <w:sz w:val="18"/>
          <w:szCs w:val="18"/>
          <w:color w:val="auto"/>
        </w:rPr>
      </w:pPr>
    </w:p>
    <w:p>
      <w:pPr>
        <w:ind w:left="960" w:right="220" w:hanging="6"/>
        <w:spacing w:after="0" w:line="269" w:lineRule="auto"/>
        <w:tabs>
          <w:tab w:leader="none" w:pos="120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consist of a majority of members who are not also members of any committee to which the Board has delegated power to manage and control the fiduciary activities of the Association.</w:t>
      </w:r>
    </w:p>
    <w:p>
      <w:pPr>
        <w:spacing w:after="0" w:line="16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Executive Committee</w:t>
      </w:r>
      <w:r>
        <w:rPr>
          <w:rFonts w:ascii="Times New Roman" w:cs="Times New Roman" w:eastAsia="Times New Roman" w:hAnsi="Times New Roman"/>
          <w:sz w:val="18"/>
          <w:szCs w:val="18"/>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8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Trust Management Committee</w:t>
      </w:r>
      <w:r>
        <w:rPr>
          <w:rFonts w:ascii="Times New Roman" w:cs="Times New Roman" w:eastAsia="Times New Roman" w:hAnsi="Times New Roman"/>
          <w:sz w:val="18"/>
          <w:szCs w:val="18"/>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87"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6"/>
          <w:szCs w:val="16"/>
          <w:color w:val="auto"/>
        </w:rPr>
        <w:t xml:space="preserve">Section 3.5. </w:t>
      </w:r>
      <w:r>
        <w:rPr>
          <w:rFonts w:ascii="Times New Roman" w:cs="Times New Roman" w:eastAsia="Times New Roman" w:hAnsi="Times New Roman"/>
          <w:sz w:val="16"/>
          <w:szCs w:val="16"/>
          <w:u w:val="single" w:color="auto"/>
          <w:color w:val="auto"/>
        </w:rPr>
        <w:t>Other Committees</w:t>
      </w:r>
      <w:r>
        <w:rPr>
          <w:rFonts w:ascii="Times New Roman" w:cs="Times New Roman" w:eastAsia="Times New Roman" w:hAnsi="Times New Roman"/>
          <w:sz w:val="16"/>
          <w:szCs w:val="16"/>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5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Meetings, Minutes and Rules</w:t>
      </w:r>
      <w:r>
        <w:rPr>
          <w:rFonts w:ascii="Times New Roman" w:cs="Times New Roman" w:eastAsia="Times New Roman" w:hAnsi="Times New Roman"/>
          <w:sz w:val="18"/>
          <w:szCs w:val="18"/>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87" w:right="33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19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Section 4.1 Who Shall Constitut</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Section 4.2 Term of Offic</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w:t>
      </w:r>
    </w:p>
    <w:p>
      <w:pPr>
        <w:spacing w:after="0" w:line="185" w:lineRule="exact"/>
        <w:rPr>
          <w:sz w:val="20"/>
          <w:szCs w:val="20"/>
          <w:color w:val="auto"/>
        </w:rPr>
      </w:pPr>
    </w:p>
    <w:p>
      <w:pPr>
        <w:ind w:right="20"/>
        <w:spacing w:after="0" w:line="303" w:lineRule="auto"/>
        <w:rPr>
          <w:sz w:val="20"/>
          <w:szCs w:val="20"/>
          <w:color w:val="auto"/>
        </w:rPr>
      </w:pPr>
      <w:r>
        <w:rPr>
          <w:rFonts w:ascii="Times New Roman" w:cs="Times New Roman" w:eastAsia="Times New Roman" w:hAnsi="Times New Roman"/>
          <w:sz w:val="16"/>
          <w:szCs w:val="16"/>
          <w:color w:val="auto"/>
        </w:rPr>
        <w:t xml:space="preserve">Section 4.3. </w:t>
      </w:r>
      <w:r>
        <w:rPr>
          <w:rFonts w:ascii="Times New Roman" w:cs="Times New Roman" w:eastAsia="Times New Roman" w:hAnsi="Times New Roman"/>
          <w:sz w:val="16"/>
          <w:szCs w:val="16"/>
          <w:u w:val="single" w:color="auto"/>
          <w:color w:val="auto"/>
        </w:rPr>
        <w:t>Chairman of the Board</w:t>
      </w:r>
      <w:r>
        <w:rPr>
          <w:rFonts w:ascii="Times New Roman" w:cs="Times New Roman" w:eastAsia="Times New Roman" w:hAnsi="Times New Roman"/>
          <w:sz w:val="16"/>
          <w:szCs w:val="16"/>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46"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85"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Vice President</w:t>
      </w:r>
      <w:r>
        <w:rPr>
          <w:rFonts w:ascii="Times New Roman" w:cs="Times New Roman" w:eastAsia="Times New Roman" w:hAnsi="Times New Roman"/>
          <w:sz w:val="18"/>
          <w:szCs w:val="18"/>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ind w:right="20"/>
        <w:spacing w:after="0" w:line="286" w:lineRule="auto"/>
        <w:rPr>
          <w:sz w:val="20"/>
          <w:szCs w:val="20"/>
          <w:color w:val="auto"/>
        </w:rPr>
      </w:pPr>
      <w:r>
        <w:rPr>
          <w:rFonts w:ascii="Times New Roman" w:cs="Times New Roman" w:eastAsia="Times New Roman" w:hAnsi="Times New Roman"/>
          <w:sz w:val="16"/>
          <w:szCs w:val="16"/>
          <w:color w:val="auto"/>
        </w:rPr>
        <w:t xml:space="preserve">Section 4.6. </w:t>
      </w:r>
      <w:r>
        <w:rPr>
          <w:rFonts w:ascii="Times New Roman" w:cs="Times New Roman" w:eastAsia="Times New Roman" w:hAnsi="Times New Roman"/>
          <w:sz w:val="16"/>
          <w:szCs w:val="16"/>
          <w:u w:val="single" w:color="auto"/>
          <w:color w:val="auto"/>
        </w:rPr>
        <w:t>Secretary</w:t>
      </w:r>
      <w:r>
        <w:rPr>
          <w:rFonts w:ascii="Times New Roman" w:cs="Times New Roman" w:eastAsia="Times New Roman" w:hAnsi="Times New Roman"/>
          <w:sz w:val="16"/>
          <w:szCs w:val="16"/>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16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6"/>
          <w:szCs w:val="16"/>
          <w:color w:val="auto"/>
        </w:rPr>
        <w:t xml:space="preserve">Section 4.7. </w:t>
      </w:r>
      <w:r>
        <w:rPr>
          <w:rFonts w:ascii="Times New Roman" w:cs="Times New Roman" w:eastAsia="Times New Roman" w:hAnsi="Times New Roman"/>
          <w:sz w:val="16"/>
          <w:szCs w:val="16"/>
          <w:u w:val="single" w:color="auto"/>
          <w:color w:val="auto"/>
        </w:rPr>
        <w:t>Other Officers</w:t>
      </w:r>
      <w:r>
        <w:rPr>
          <w:rFonts w:ascii="Times New Roman" w:cs="Times New Roman" w:eastAsia="Times New Roman" w:hAnsi="Times New Roman"/>
          <w:sz w:val="16"/>
          <w:szCs w:val="16"/>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w:t>
      </w:r>
    </w:p>
    <w:p>
      <w:pPr>
        <w:spacing w:after="0" w:line="1"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8"/>
          <w:szCs w:val="18"/>
          <w:color w:val="auto"/>
        </w:rPr>
        <w:t>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Stock</w:t>
      </w:r>
    </w:p>
    <w:p>
      <w:pPr>
        <w:spacing w:after="0" w:line="19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1" w:name="page92"/>
    <w:bookmarkEnd w:id="91"/>
    <w:p>
      <w:pPr>
        <w:ind w:left="5140"/>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u w:val="single" w:color="auto"/>
          <w:color w:val="auto"/>
        </w:rPr>
        <w:t>Corporate Seal</w:t>
      </w:r>
    </w:p>
    <w:p>
      <w:pPr>
        <w:spacing w:after="0" w:line="197"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197"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81"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Trust Files</w:t>
      </w:r>
      <w:r>
        <w:rPr>
          <w:rFonts w:ascii="Times New Roman" w:cs="Times New Roman" w:eastAsia="Times New Roman" w:hAnsi="Times New Roman"/>
          <w:sz w:val="18"/>
          <w:szCs w:val="18"/>
          <w:color w:val="auto"/>
        </w:rPr>
        <w:t>. There shall be maintained in the Association files all fiduciary records necessary to assure that its fiduciary responsibilities have been properly undertaken and discharged.</w:t>
      </w:r>
    </w:p>
    <w:p>
      <w:pPr>
        <w:spacing w:after="0" w:line="1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Trust Investments</w:t>
      </w:r>
      <w:r>
        <w:rPr>
          <w:rFonts w:ascii="Times New Roman" w:cs="Times New Roman" w:eastAsia="Times New Roman" w:hAnsi="Times New Roman"/>
          <w:sz w:val="18"/>
          <w:szCs w:val="18"/>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w:t>
      </w:r>
    </w:p>
    <w:p>
      <w:pPr>
        <w:spacing w:after="0" w:line="18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8"/>
          <w:szCs w:val="18"/>
          <w:color w:val="auto"/>
        </w:rPr>
        <w:t>Except where specified otherwise in these Bylaws, prior notice shall be proper if given not more than 30 days nor less than 10 days prior to the event for which notice is given.</w:t>
      </w:r>
    </w:p>
    <w:p>
      <w:pPr>
        <w:spacing w:after="0" w:line="16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ARTICLE VIII</w:t>
      </w:r>
    </w:p>
    <w:p>
      <w:pPr>
        <w:spacing w:after="0" w:line="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19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IX</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Bylaws: Interpretation and Amendment</w:t>
      </w:r>
    </w:p>
    <w:p>
      <w:pPr>
        <w:spacing w:after="0" w:line="197"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18"/>
          <w:szCs w:val="18"/>
          <w:color w:val="auto"/>
        </w:rPr>
        <w:t>Section 9.1. These Bylaws shall be interpreted in accordance with and subject to appropriate provisions of law, and may be added to, altered, amended, or repealed, at any regular or special meeting of the Board.</w:t>
      </w:r>
    </w:p>
    <w:p>
      <w:pPr>
        <w:spacing w:after="0" w:line="168"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18"/>
          <w:szCs w:val="18"/>
          <w:color w:val="auto"/>
        </w:rPr>
        <w:t>Section 9.2. A copy of the Bylaws and all amendments shall at all times be kept in a convenient place at the principal office of the Association, and shall be open for inspection to all shareholders during Association hours.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X</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197" w:lineRule="exact"/>
        <w:rPr>
          <w:sz w:val="20"/>
          <w:szCs w:val="20"/>
          <w:color w:val="auto"/>
        </w:rPr>
      </w:pPr>
    </w:p>
    <w:p>
      <w:pPr>
        <w:ind w:right="740"/>
        <w:spacing w:after="0" w:line="269"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Association shall begin on the first day of January in each year and shall end on the thirty-first day of December following.</w:t>
      </w:r>
    </w:p>
    <w:p>
      <w:pPr>
        <w:spacing w:after="0" w:line="168"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135495"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6</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CONSENT</w:t>
      </w:r>
    </w:p>
    <w:p>
      <w:pPr>
        <w:spacing w:after="0" w:line="19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27, 2026</w:t>
      </w:r>
    </w:p>
    <w:p>
      <w:pPr>
        <w:spacing w:after="0" w:line="215" w:lineRule="exact"/>
        <w:rPr>
          <w:sz w:val="20"/>
          <w:szCs w:val="20"/>
          <w:color w:val="auto"/>
        </w:rPr>
      </w:pPr>
    </w:p>
    <w:p>
      <w:pPr>
        <w:ind w:left="3380"/>
        <w:spacing w:after="0"/>
        <w:tabs>
          <w:tab w:leader="none" w:pos="4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Joshua A.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22225</wp:posOffset>
            </wp:positionV>
            <wp:extent cx="1781810"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1781810" cy="16510"/>
                    </a:xfrm>
                    <a:prstGeom prst="rect">
                      <a:avLst/>
                    </a:prstGeom>
                    <a:noFill/>
                  </pic:spPr>
                </pic:pic>
              </a:graphicData>
            </a:graphic>
          </wp:anchor>
        </w:drawing>
      </w:r>
    </w:p>
    <w:p>
      <w:pPr>
        <w:spacing w:after="0" w:line="2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Joshua A. Hahn</w:t>
      </w:r>
    </w:p>
    <w:p>
      <w:pPr>
        <w:spacing w:after="0" w:line="2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135495"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7</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Financial Condition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12/31/2025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120" w:type="dxa"/>
            <w:vAlign w:val="bottom"/>
            <w:gridSpan w:val="2"/>
          </w:tcPr>
          <w:p>
            <w:pPr>
              <w:jc w:val="right"/>
              <w:ind w:right="738"/>
              <w:spacing w:after="0"/>
              <w:rPr>
                <w:sz w:val="20"/>
                <w:szCs w:val="20"/>
                <w:color w:val="auto"/>
              </w:rPr>
            </w:pPr>
            <w:r>
              <w:rPr>
                <w:rFonts w:ascii="Times New Roman" w:cs="Times New Roman" w:eastAsia="Times New Roman" w:hAnsi="Times New Roman"/>
                <w:sz w:val="18"/>
                <w:szCs w:val="18"/>
                <w:b w:val="1"/>
                <w:bCs w:val="1"/>
                <w:color w:val="auto"/>
              </w:rPr>
              <w:t>($000’s)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29"/>
        </w:trPr>
        <w:tc>
          <w:tcPr>
            <w:tcW w:w="4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1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Balances Due From Depository Institutions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2,035,855</w:t>
            </w:r>
          </w:p>
        </w:tc>
        <w:tc>
          <w:tcPr>
            <w:tcW w:w="120" w:type="dxa"/>
            <w:vAlign w:val="bottom"/>
            <w:shd w:val="clear" w:color="auto" w:fill="CCEEFF"/>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 Funds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&amp; Lease Financing Receivables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Fixed Assets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CEEFF"/>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574,084</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7"/>
        </w:trPr>
        <w:tc>
          <w:tcPr>
            <w:tcW w:w="4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2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173,370</w:t>
            </w:r>
          </w:p>
        </w:tc>
        <w:tc>
          <w:tcPr>
            <w:tcW w:w="120" w:type="dxa"/>
            <w:vAlign w:val="bottom"/>
            <w:tcBorders>
              <w:bottom w:val="single" w:sz="8" w:color="CCEEFF"/>
            </w:tcBorders>
            <w:shd w:val="clear" w:color="auto" w:fill="CCEEFF"/>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2,788,628</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 Funds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Treasury Demand Notes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Trading Liabilities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Borrowed Money</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Acceptances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3360" w:type="dxa"/>
            <w:vAlign w:val="bottom"/>
          </w:tcPr>
          <w:p>
            <w:pPr>
              <w:spacing w:after="0"/>
              <w:rPr>
                <w:sz w:val="18"/>
                <w:szCs w:val="18"/>
                <w:color w:val="auto"/>
              </w:rPr>
            </w:pPr>
          </w:p>
        </w:tc>
      </w:tr>
      <w:tr>
        <w:trPr>
          <w:trHeight w:val="217"/>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2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237,596</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237,596</w:t>
            </w:r>
          </w:p>
        </w:tc>
        <w:tc>
          <w:tcPr>
            <w:tcW w:w="120" w:type="dxa"/>
            <w:vAlign w:val="bottom"/>
            <w:shd w:val="clear" w:color="auto" w:fill="CCEEFF"/>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Surplus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1,171,635</w:t>
            </w:r>
          </w:p>
        </w:tc>
        <w:tc>
          <w:tcPr>
            <w:tcW w:w="120" w:type="dxa"/>
            <w:vAlign w:val="bottom"/>
            <w:shd w:val="clear" w:color="auto" w:fill="CCEEFF"/>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Undivided Profits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1,379,197</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7"/>
        </w:trPr>
        <w:tc>
          <w:tcPr>
            <w:tcW w:w="4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Minority Interest in Subsidiaries</w:t>
            </w:r>
          </w:p>
        </w:tc>
        <w:tc>
          <w:tcPr>
            <w:tcW w:w="2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CEEFF"/>
            </w:tcBorders>
            <w:shd w:val="clear" w:color="auto" w:fill="CCEEFF"/>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Equity Capital</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2,551,032</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1"/>
        </w:trPr>
        <w:tc>
          <w:tcPr>
            <w:tcW w:w="46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60" w:type="dxa"/>
            <w:vAlign w:val="bottom"/>
          </w:tcPr>
          <w:p>
            <w:pPr>
              <w:spacing w:after="0"/>
              <w:rPr>
                <w:sz w:val="18"/>
                <w:szCs w:val="18"/>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 Capital</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2,788,628</w:t>
            </w: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500"/>
        </w:trPr>
        <w:tc>
          <w:tcPr>
            <w:tcW w:w="46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9" w:right="339" w:bottom="1440" w:gutter="0" w:footer="0" w:header="0"/>
        </w:sectPr>
      </w:pPr>
    </w:p>
    <w:bookmarkStart w:id="96" w:name="page97"/>
    <w:bookmarkEnd w:id="96"/>
    <w:p>
      <w:pPr>
        <w:ind w:left="10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5495" cy="336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7135495" cy="33655"/>
                    </a:xfrm>
                    <a:prstGeom prst="rect">
                      <a:avLst/>
                    </a:prstGeom>
                    <a:noFill/>
                  </pic:spPr>
                </pic:pic>
              </a:graphicData>
            </a:graphic>
          </wp:anchor>
        </w:drawing>
        <w:t>Exhibit 107</w:t>
      </w:r>
    </w:p>
    <w:p>
      <w:pPr>
        <w:spacing w:after="0" w:line="1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 Type)</w:t>
      </w:r>
    </w:p>
    <w:p>
      <w:pPr>
        <w:spacing w:after="0" w:line="1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FTAI Aviation Ltd.</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Securities and Carry Forward Securities</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00" w:type="dxa"/>
            <w:vAlign w:val="bottom"/>
            <w:tcBorders>
              <w:top w:val="single" w:sz="8" w:color="auto"/>
              <w:left w:val="single" w:sz="8" w:color="auto"/>
              <w:right w:val="single" w:sz="8" w:color="auto"/>
            </w:tcBorders>
          </w:tcPr>
          <w:p>
            <w:pPr>
              <w:spacing w:after="0"/>
              <w:rPr>
                <w:sz w:val="19"/>
                <w:szCs w:val="19"/>
                <w:color w:val="auto"/>
              </w:rPr>
            </w:pPr>
          </w:p>
        </w:tc>
        <w:tc>
          <w:tcPr>
            <w:tcW w:w="720" w:type="dxa"/>
            <w:vAlign w:val="bottom"/>
            <w:tcBorders>
              <w:top w:val="single" w:sz="8" w:color="auto"/>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720" w:type="dxa"/>
            <w:vAlign w:val="bottom"/>
            <w:tcBorders>
              <w:top w:val="single" w:sz="8" w:color="auto"/>
              <w:right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8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Filing Fee</w:t>
            </w:r>
          </w:p>
        </w:tc>
      </w:tr>
      <w:tr>
        <w:trPr>
          <w:trHeight w:val="211"/>
        </w:trPr>
        <w:tc>
          <w:tcPr>
            <w:tcW w:w="90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Previously</w:t>
            </w:r>
          </w:p>
        </w:tc>
      </w:tr>
      <w:tr>
        <w:trPr>
          <w:trHeight w:val="211"/>
        </w:trPr>
        <w:tc>
          <w:tcPr>
            <w:tcW w:w="90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Paid In</w:t>
            </w:r>
          </w:p>
        </w:tc>
      </w:tr>
      <w:tr>
        <w:trPr>
          <w:trHeight w:val="211"/>
        </w:trPr>
        <w:tc>
          <w:tcPr>
            <w:tcW w:w="90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Connection</w:t>
            </w:r>
          </w:p>
        </w:tc>
      </w:tr>
      <w:tr>
        <w:trPr>
          <w:trHeight w:val="211"/>
        </w:trPr>
        <w:tc>
          <w:tcPr>
            <w:tcW w:w="90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w:t>
            </w:r>
          </w:p>
        </w:tc>
      </w:tr>
      <w:tr>
        <w:trPr>
          <w:trHeight w:val="211"/>
        </w:trPr>
        <w:tc>
          <w:tcPr>
            <w:tcW w:w="90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8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Proposed</w:t>
            </w:r>
          </w:p>
        </w:tc>
        <w:tc>
          <w:tcPr>
            <w:tcW w:w="8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Carry</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Unsold</w:t>
            </w:r>
          </w:p>
        </w:tc>
      </w:tr>
      <w:tr>
        <w:trPr>
          <w:trHeight w:val="211"/>
        </w:trPr>
        <w:tc>
          <w:tcPr>
            <w:tcW w:w="90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Calculation</w:t>
            </w:r>
          </w:p>
        </w:tc>
        <w:tc>
          <w:tcPr>
            <w:tcW w:w="8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Carry</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Carry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11"/>
        </w:trPr>
        <w:tc>
          <w:tcPr>
            <w:tcW w:w="90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Carry</w:t>
            </w:r>
          </w:p>
        </w:tc>
        <w:tc>
          <w:tcPr>
            <w:tcW w:w="8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Amount of</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Forward</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Initial</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to be</w:t>
            </w:r>
          </w:p>
        </w:tc>
      </w:tr>
      <w:tr>
        <w:trPr>
          <w:trHeight w:val="211"/>
        </w:trPr>
        <w:tc>
          <w:tcPr>
            <w:tcW w:w="90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Security</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Security</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Registration</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carried</w:t>
            </w:r>
          </w:p>
        </w:tc>
      </w:tr>
      <w:tr>
        <w:trPr>
          <w:trHeight w:val="257"/>
        </w:trPr>
        <w:tc>
          <w:tcPr>
            <w:tcW w:w="900" w:type="dxa"/>
            <w:vAlign w:val="bottom"/>
            <w:tcBorders>
              <w:left w:val="single" w:sz="8" w:color="auto"/>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94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8"/>
              </w:rPr>
              <w:t>Class Title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Registered</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Fee Rate</w:t>
            </w:r>
          </w:p>
        </w:tc>
        <w:tc>
          <w:tcPr>
            <w:tcW w:w="4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Type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Forward</w:t>
            </w:r>
          </w:p>
        </w:tc>
      </w:tr>
      <w:tr>
        <w:trPr>
          <w:trHeight w:val="204"/>
        </w:trPr>
        <w:tc>
          <w:tcPr>
            <w:tcW w:w="900" w:type="dxa"/>
            <w:vAlign w:val="bottom"/>
            <w:tcBorders>
              <w:left w:val="single" w:sz="8" w:color="auto"/>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center"/>
              <w:ind w:left="212"/>
              <w:spacing w:after="0" w:line="204" w:lineRule="exact"/>
              <w:rPr>
                <w:sz w:val="20"/>
                <w:szCs w:val="20"/>
                <w:color w:val="auto"/>
              </w:rPr>
            </w:pPr>
            <w:r>
              <w:rPr>
                <w:rFonts w:ascii="Times New Roman" w:cs="Times New Roman" w:eastAsia="Times New Roman" w:hAnsi="Times New Roman"/>
                <w:sz w:val="18"/>
                <w:szCs w:val="18"/>
                <w:b w:val="1"/>
                <w:bCs w:val="1"/>
                <w:color w:val="auto"/>
                <w:w w:val="97"/>
              </w:rPr>
              <w:t>Newly Registered Securities</w:t>
            </w:r>
          </w:p>
        </w:tc>
        <w:tc>
          <w:tcPr>
            <w:tcW w:w="10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r>
      <w:tr>
        <w:trPr>
          <w:trHeight w:val="212"/>
        </w:trPr>
        <w:tc>
          <w:tcPr>
            <w:tcW w:w="900" w:type="dxa"/>
            <w:vAlign w:val="bottom"/>
            <w:tcBorders>
              <w:left w:val="single" w:sz="8" w:color="auto"/>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8"/>
              </w:rPr>
              <w:t>Ordinary</w:t>
            </w:r>
          </w:p>
        </w:tc>
        <w:tc>
          <w:tcPr>
            <w:tcW w:w="90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r>
      <w:tr>
        <w:trPr>
          <w:trHeight w:val="211"/>
        </w:trPr>
        <w:tc>
          <w:tcPr>
            <w:tcW w:w="900" w:type="dxa"/>
            <w:vAlign w:val="bottom"/>
            <w:tcBorders>
              <w:left w:val="single" w:sz="8" w:color="auto"/>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Shares, par</w:t>
            </w:r>
          </w:p>
        </w:tc>
        <w:tc>
          <w:tcPr>
            <w:tcW w:w="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Rules</w:t>
            </w:r>
          </w:p>
        </w:tc>
        <w:tc>
          <w:tcPr>
            <w:tcW w:w="86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r>
      <w:tr>
        <w:trPr>
          <w:trHeight w:val="211"/>
        </w:trPr>
        <w:tc>
          <w:tcPr>
            <w:tcW w:w="9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Fees to be</w:t>
            </w:r>
          </w:p>
        </w:tc>
        <w:tc>
          <w:tcPr>
            <w:tcW w:w="7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value $0.01</w:t>
            </w:r>
          </w:p>
        </w:tc>
        <w:tc>
          <w:tcPr>
            <w:tcW w:w="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456(b) and</w:t>
            </w:r>
          </w:p>
        </w:tc>
        <w:tc>
          <w:tcPr>
            <w:tcW w:w="86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r>
      <w:tr>
        <w:trPr>
          <w:trHeight w:val="261"/>
        </w:trPr>
        <w:tc>
          <w:tcPr>
            <w:tcW w:w="90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Paid</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Equity</w:t>
            </w:r>
          </w:p>
        </w:tc>
        <w:tc>
          <w:tcPr>
            <w:tcW w:w="940" w:type="dxa"/>
            <w:vAlign w:val="bottom"/>
            <w:tcBorders>
              <w:bottom w:val="single" w:sz="8" w:color="CCEEFF"/>
              <w:right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7"/>
              </w:rPr>
              <w:t>per share</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457(r) (2)</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880" w:type="dxa"/>
            <w:vAlign w:val="bottom"/>
            <w:tcBorders>
              <w:bottom w:val="single" w:sz="8" w:color="CCEEFF"/>
              <w:right w:val="single" w:sz="8" w:color="auto"/>
            </w:tcBorders>
            <w:shd w:val="clear" w:color="auto" w:fill="CCEEFF"/>
          </w:tcPr>
          <w:p>
            <w:pPr>
              <w:spacing w:after="0"/>
              <w:rPr>
                <w:sz w:val="22"/>
                <w:szCs w:val="22"/>
                <w:color w:val="auto"/>
              </w:rPr>
            </w:pPr>
          </w:p>
        </w:tc>
        <w:tc>
          <w:tcPr>
            <w:tcW w:w="860" w:type="dxa"/>
            <w:vAlign w:val="bottom"/>
            <w:tcBorders>
              <w:bottom w:val="single" w:sz="8" w:color="CCEEFF"/>
              <w:right w:val="single" w:sz="8" w:color="auto"/>
            </w:tcBorders>
            <w:shd w:val="clear" w:color="auto" w:fill="CCEEFF"/>
          </w:tcPr>
          <w:p>
            <w:pPr>
              <w:spacing w:after="0"/>
              <w:rPr>
                <w:sz w:val="22"/>
                <w:szCs w:val="22"/>
                <w:color w:val="auto"/>
              </w:rPr>
            </w:pPr>
          </w:p>
        </w:tc>
        <w:tc>
          <w:tcPr>
            <w:tcW w:w="880" w:type="dxa"/>
            <w:vAlign w:val="bottom"/>
            <w:tcBorders>
              <w:bottom w:val="single" w:sz="8" w:color="CCEEFF"/>
              <w:right w:val="single" w:sz="8" w:color="auto"/>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12"/>
        </w:trPr>
        <w:tc>
          <w:tcPr>
            <w:tcW w:w="900" w:type="dxa"/>
            <w:vAlign w:val="bottom"/>
            <w:tcBorders>
              <w:top w:val="single" w:sz="8" w:color="auto"/>
              <w:left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Preferred</w:t>
            </w:r>
          </w:p>
        </w:tc>
        <w:tc>
          <w:tcPr>
            <w:tcW w:w="90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r>
      <w:tr>
        <w:trPr>
          <w:trHeight w:val="211"/>
        </w:trPr>
        <w:tc>
          <w:tcPr>
            <w:tcW w:w="90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Shares, par</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Rules</w:t>
            </w:r>
          </w:p>
        </w:tc>
        <w:tc>
          <w:tcPr>
            <w:tcW w:w="8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1"/>
        </w:trPr>
        <w:tc>
          <w:tcPr>
            <w:tcW w:w="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Fees to be</w:t>
            </w: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value $0.01</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456(b) and</w:t>
            </w:r>
          </w:p>
        </w:tc>
        <w:tc>
          <w:tcPr>
            <w:tcW w:w="8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28"/>
        </w:trPr>
        <w:tc>
          <w:tcPr>
            <w:tcW w:w="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Paid</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Equity</w:t>
            </w:r>
          </w:p>
        </w:tc>
        <w:tc>
          <w:tcPr>
            <w:tcW w:w="94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7"/>
              </w:rPr>
              <w:t>per share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457(r) (2)</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40" w:type="dxa"/>
            <w:vAlign w:val="bottom"/>
          </w:tcPr>
          <w:p>
            <w:pPr>
              <w:spacing w:after="0"/>
              <w:rPr>
                <w:sz w:val="19"/>
                <w:szCs w:val="19"/>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88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r>
      <w:tr>
        <w:trPr>
          <w:trHeight w:val="27"/>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12"/>
        </w:trPr>
        <w:tc>
          <w:tcPr>
            <w:tcW w:w="900" w:type="dxa"/>
            <w:vAlign w:val="bottom"/>
            <w:tcBorders>
              <w:left w:val="single" w:sz="8" w:color="auto"/>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Rules</w:t>
            </w:r>
          </w:p>
        </w:tc>
        <w:tc>
          <w:tcPr>
            <w:tcW w:w="86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r>
      <w:tr>
        <w:trPr>
          <w:trHeight w:val="211"/>
        </w:trPr>
        <w:tc>
          <w:tcPr>
            <w:tcW w:w="9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Fees to be</w:t>
            </w:r>
          </w:p>
        </w:tc>
        <w:tc>
          <w:tcPr>
            <w:tcW w:w="7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Depositary</w:t>
            </w:r>
          </w:p>
        </w:tc>
        <w:tc>
          <w:tcPr>
            <w:tcW w:w="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456(b) and</w:t>
            </w:r>
          </w:p>
        </w:tc>
        <w:tc>
          <w:tcPr>
            <w:tcW w:w="86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r>
      <w:tr>
        <w:trPr>
          <w:trHeight w:val="261"/>
        </w:trPr>
        <w:tc>
          <w:tcPr>
            <w:tcW w:w="90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Paid</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Equity</w:t>
            </w:r>
          </w:p>
        </w:tc>
        <w:tc>
          <w:tcPr>
            <w:tcW w:w="940" w:type="dxa"/>
            <w:vAlign w:val="bottom"/>
            <w:tcBorders>
              <w:bottom w:val="single" w:sz="8" w:color="CCEEFF"/>
              <w:right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7"/>
              </w:rPr>
              <w:t>Shares (4)</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457(r) (2)</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880" w:type="dxa"/>
            <w:vAlign w:val="bottom"/>
            <w:tcBorders>
              <w:bottom w:val="single" w:sz="8" w:color="CCEEFF"/>
              <w:right w:val="single" w:sz="8" w:color="auto"/>
            </w:tcBorders>
            <w:shd w:val="clear" w:color="auto" w:fill="CCEEFF"/>
          </w:tcPr>
          <w:p>
            <w:pPr>
              <w:spacing w:after="0"/>
              <w:rPr>
                <w:sz w:val="22"/>
                <w:szCs w:val="22"/>
                <w:color w:val="auto"/>
              </w:rPr>
            </w:pPr>
          </w:p>
        </w:tc>
        <w:tc>
          <w:tcPr>
            <w:tcW w:w="860" w:type="dxa"/>
            <w:vAlign w:val="bottom"/>
            <w:tcBorders>
              <w:bottom w:val="single" w:sz="8" w:color="CCEEFF"/>
              <w:right w:val="single" w:sz="8" w:color="auto"/>
            </w:tcBorders>
            <w:shd w:val="clear" w:color="auto" w:fill="CCEEFF"/>
          </w:tcPr>
          <w:p>
            <w:pPr>
              <w:spacing w:after="0"/>
              <w:rPr>
                <w:sz w:val="22"/>
                <w:szCs w:val="22"/>
                <w:color w:val="auto"/>
              </w:rPr>
            </w:pPr>
          </w:p>
        </w:tc>
        <w:tc>
          <w:tcPr>
            <w:tcW w:w="880" w:type="dxa"/>
            <w:vAlign w:val="bottom"/>
            <w:tcBorders>
              <w:bottom w:val="single" w:sz="8" w:color="CCEEFF"/>
              <w:right w:val="single" w:sz="8" w:color="auto"/>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12"/>
        </w:trPr>
        <w:tc>
          <w:tcPr>
            <w:tcW w:w="900" w:type="dxa"/>
            <w:vAlign w:val="bottom"/>
            <w:tcBorders>
              <w:top w:val="single" w:sz="8" w:color="auto"/>
              <w:left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Rules</w:t>
            </w:r>
          </w:p>
        </w:tc>
        <w:tc>
          <w:tcPr>
            <w:tcW w:w="86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r>
      <w:tr>
        <w:trPr>
          <w:trHeight w:val="211"/>
        </w:trPr>
        <w:tc>
          <w:tcPr>
            <w:tcW w:w="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Fees to be</w:t>
            </w: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456(b) and</w:t>
            </w:r>
          </w:p>
        </w:tc>
        <w:tc>
          <w:tcPr>
            <w:tcW w:w="8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28"/>
        </w:trPr>
        <w:tc>
          <w:tcPr>
            <w:tcW w:w="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Paid</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457(r) (2)</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40" w:type="dxa"/>
            <w:vAlign w:val="bottom"/>
          </w:tcPr>
          <w:p>
            <w:pPr>
              <w:spacing w:after="0"/>
              <w:rPr>
                <w:sz w:val="19"/>
                <w:szCs w:val="19"/>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88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r>
      <w:tr>
        <w:trPr>
          <w:trHeight w:val="27"/>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12"/>
        </w:trPr>
        <w:tc>
          <w:tcPr>
            <w:tcW w:w="900" w:type="dxa"/>
            <w:vAlign w:val="bottom"/>
            <w:tcBorders>
              <w:left w:val="single" w:sz="8" w:color="auto"/>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Rules</w:t>
            </w:r>
          </w:p>
        </w:tc>
        <w:tc>
          <w:tcPr>
            <w:tcW w:w="86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r>
      <w:tr>
        <w:trPr>
          <w:trHeight w:val="211"/>
        </w:trPr>
        <w:tc>
          <w:tcPr>
            <w:tcW w:w="9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Fees to be</w:t>
            </w:r>
          </w:p>
        </w:tc>
        <w:tc>
          <w:tcPr>
            <w:tcW w:w="7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456(b) and</w:t>
            </w:r>
          </w:p>
        </w:tc>
        <w:tc>
          <w:tcPr>
            <w:tcW w:w="86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r>
      <w:tr>
        <w:trPr>
          <w:trHeight w:val="261"/>
        </w:trPr>
        <w:tc>
          <w:tcPr>
            <w:tcW w:w="90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Paid</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9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Warrants</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457(r) (2)</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880" w:type="dxa"/>
            <w:vAlign w:val="bottom"/>
            <w:tcBorders>
              <w:bottom w:val="single" w:sz="8" w:color="CCEEFF"/>
              <w:right w:val="single" w:sz="8" w:color="auto"/>
            </w:tcBorders>
            <w:shd w:val="clear" w:color="auto" w:fill="CCEEFF"/>
          </w:tcPr>
          <w:p>
            <w:pPr>
              <w:spacing w:after="0"/>
              <w:rPr>
                <w:sz w:val="22"/>
                <w:szCs w:val="22"/>
                <w:color w:val="auto"/>
              </w:rPr>
            </w:pPr>
          </w:p>
        </w:tc>
        <w:tc>
          <w:tcPr>
            <w:tcW w:w="860" w:type="dxa"/>
            <w:vAlign w:val="bottom"/>
            <w:tcBorders>
              <w:bottom w:val="single" w:sz="8" w:color="CCEEFF"/>
              <w:right w:val="single" w:sz="8" w:color="auto"/>
            </w:tcBorders>
            <w:shd w:val="clear" w:color="auto" w:fill="CCEEFF"/>
          </w:tcPr>
          <w:p>
            <w:pPr>
              <w:spacing w:after="0"/>
              <w:rPr>
                <w:sz w:val="22"/>
                <w:szCs w:val="22"/>
                <w:color w:val="auto"/>
              </w:rPr>
            </w:pPr>
          </w:p>
        </w:tc>
        <w:tc>
          <w:tcPr>
            <w:tcW w:w="880" w:type="dxa"/>
            <w:vAlign w:val="bottom"/>
            <w:tcBorders>
              <w:bottom w:val="single" w:sz="8" w:color="CCEEFF"/>
              <w:right w:val="single" w:sz="8" w:color="auto"/>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12"/>
        </w:trPr>
        <w:tc>
          <w:tcPr>
            <w:tcW w:w="900" w:type="dxa"/>
            <w:vAlign w:val="bottom"/>
            <w:tcBorders>
              <w:top w:val="single" w:sz="8" w:color="auto"/>
              <w:left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Rules</w:t>
            </w:r>
          </w:p>
        </w:tc>
        <w:tc>
          <w:tcPr>
            <w:tcW w:w="86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r>
      <w:tr>
        <w:trPr>
          <w:trHeight w:val="211"/>
        </w:trPr>
        <w:tc>
          <w:tcPr>
            <w:tcW w:w="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Fees to be</w:t>
            </w: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Subscription</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456(b) and</w:t>
            </w:r>
          </w:p>
        </w:tc>
        <w:tc>
          <w:tcPr>
            <w:tcW w:w="8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28"/>
        </w:trPr>
        <w:tc>
          <w:tcPr>
            <w:tcW w:w="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Paid</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Rights</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457(r) (2)</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40" w:type="dxa"/>
            <w:vAlign w:val="bottom"/>
          </w:tcPr>
          <w:p>
            <w:pPr>
              <w:spacing w:after="0"/>
              <w:rPr>
                <w:sz w:val="19"/>
                <w:szCs w:val="19"/>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88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r>
      <w:tr>
        <w:trPr>
          <w:trHeight w:val="27"/>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12"/>
        </w:trPr>
        <w:tc>
          <w:tcPr>
            <w:tcW w:w="900" w:type="dxa"/>
            <w:vAlign w:val="bottom"/>
            <w:tcBorders>
              <w:left w:val="single" w:sz="8" w:color="auto"/>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Rules</w:t>
            </w:r>
          </w:p>
        </w:tc>
        <w:tc>
          <w:tcPr>
            <w:tcW w:w="86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r>
      <w:tr>
        <w:trPr>
          <w:trHeight w:val="211"/>
        </w:trPr>
        <w:tc>
          <w:tcPr>
            <w:tcW w:w="9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Fees to be</w:t>
            </w:r>
          </w:p>
        </w:tc>
        <w:tc>
          <w:tcPr>
            <w:tcW w:w="7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8"/>
              </w:rPr>
              <w:t>Purchase</w:t>
            </w:r>
          </w:p>
        </w:tc>
        <w:tc>
          <w:tcPr>
            <w:tcW w:w="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456(b) and</w:t>
            </w:r>
          </w:p>
        </w:tc>
        <w:tc>
          <w:tcPr>
            <w:tcW w:w="86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r>
      <w:tr>
        <w:trPr>
          <w:trHeight w:val="261"/>
        </w:trPr>
        <w:tc>
          <w:tcPr>
            <w:tcW w:w="90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Paid</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940" w:type="dxa"/>
            <w:vAlign w:val="bottom"/>
            <w:tcBorders>
              <w:bottom w:val="single" w:sz="8" w:color="CCEEFF"/>
              <w:right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8"/>
              </w:rPr>
              <w:t>Contracts</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457(r) (2)</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880" w:type="dxa"/>
            <w:vAlign w:val="bottom"/>
            <w:tcBorders>
              <w:bottom w:val="single" w:sz="8" w:color="CCEEFF"/>
              <w:right w:val="single" w:sz="8" w:color="auto"/>
            </w:tcBorders>
            <w:shd w:val="clear" w:color="auto" w:fill="CCEEFF"/>
          </w:tcPr>
          <w:p>
            <w:pPr>
              <w:spacing w:after="0"/>
              <w:rPr>
                <w:sz w:val="22"/>
                <w:szCs w:val="22"/>
                <w:color w:val="auto"/>
              </w:rPr>
            </w:pPr>
          </w:p>
        </w:tc>
        <w:tc>
          <w:tcPr>
            <w:tcW w:w="860" w:type="dxa"/>
            <w:vAlign w:val="bottom"/>
            <w:tcBorders>
              <w:bottom w:val="single" w:sz="8" w:color="CCEEFF"/>
              <w:right w:val="single" w:sz="8" w:color="auto"/>
            </w:tcBorders>
            <w:shd w:val="clear" w:color="auto" w:fill="CCEEFF"/>
          </w:tcPr>
          <w:p>
            <w:pPr>
              <w:spacing w:after="0"/>
              <w:rPr>
                <w:sz w:val="22"/>
                <w:szCs w:val="22"/>
                <w:color w:val="auto"/>
              </w:rPr>
            </w:pPr>
          </w:p>
        </w:tc>
        <w:tc>
          <w:tcPr>
            <w:tcW w:w="880" w:type="dxa"/>
            <w:vAlign w:val="bottom"/>
            <w:tcBorders>
              <w:bottom w:val="single" w:sz="8" w:color="CCEEFF"/>
              <w:right w:val="single" w:sz="8" w:color="auto"/>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12"/>
        </w:trPr>
        <w:tc>
          <w:tcPr>
            <w:tcW w:w="900" w:type="dxa"/>
            <w:vAlign w:val="bottom"/>
            <w:tcBorders>
              <w:top w:val="single" w:sz="8" w:color="auto"/>
              <w:left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Rules</w:t>
            </w:r>
          </w:p>
        </w:tc>
        <w:tc>
          <w:tcPr>
            <w:tcW w:w="86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r>
      <w:tr>
        <w:trPr>
          <w:trHeight w:val="211"/>
        </w:trPr>
        <w:tc>
          <w:tcPr>
            <w:tcW w:w="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Fees to be</w:t>
            </w: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8"/>
              </w:rPr>
              <w:t>Purchase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456(b) and</w:t>
            </w:r>
          </w:p>
        </w:tc>
        <w:tc>
          <w:tcPr>
            <w:tcW w:w="8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28"/>
        </w:trPr>
        <w:tc>
          <w:tcPr>
            <w:tcW w:w="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Paid</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Units (4)</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457(r) (2)</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40" w:type="dxa"/>
            <w:vAlign w:val="bottom"/>
          </w:tcPr>
          <w:p>
            <w:pPr>
              <w:spacing w:after="0"/>
              <w:rPr>
                <w:sz w:val="19"/>
                <w:szCs w:val="19"/>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88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r>
      <w:tr>
        <w:trPr>
          <w:trHeight w:val="27"/>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12"/>
        </w:trPr>
        <w:tc>
          <w:tcPr>
            <w:tcW w:w="9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Fees</w:t>
            </w:r>
          </w:p>
        </w:tc>
        <w:tc>
          <w:tcPr>
            <w:tcW w:w="7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r>
      <w:tr>
        <w:trPr>
          <w:trHeight w:val="211"/>
        </w:trPr>
        <w:tc>
          <w:tcPr>
            <w:tcW w:w="9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8"/>
              </w:rPr>
              <w:t>Previously</w:t>
            </w:r>
          </w:p>
        </w:tc>
        <w:tc>
          <w:tcPr>
            <w:tcW w:w="7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r>
      <w:tr>
        <w:trPr>
          <w:trHeight w:val="261"/>
        </w:trPr>
        <w:tc>
          <w:tcPr>
            <w:tcW w:w="90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Paid</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9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20" w:type="dxa"/>
            <w:vAlign w:val="bottom"/>
            <w:tcBorders>
              <w:bottom w:val="single" w:sz="8" w:color="CCEEFF"/>
              <w:right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right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6"/>
              </w:rPr>
              <w:t>N/A</w:t>
            </w:r>
          </w:p>
        </w:tc>
        <w:tc>
          <w:tcPr>
            <w:tcW w:w="880" w:type="dxa"/>
            <w:vAlign w:val="bottom"/>
            <w:tcBorders>
              <w:bottom w:val="single" w:sz="8" w:color="CCEEFF"/>
              <w:right w:val="single" w:sz="8" w:color="auto"/>
            </w:tcBorders>
            <w:shd w:val="clear" w:color="auto" w:fill="CCEEFF"/>
          </w:tcPr>
          <w:p>
            <w:pPr>
              <w:spacing w:after="0"/>
              <w:rPr>
                <w:sz w:val="22"/>
                <w:szCs w:val="22"/>
                <w:color w:val="auto"/>
              </w:rPr>
            </w:pPr>
          </w:p>
        </w:tc>
        <w:tc>
          <w:tcPr>
            <w:tcW w:w="860" w:type="dxa"/>
            <w:vAlign w:val="bottom"/>
            <w:tcBorders>
              <w:bottom w:val="single" w:sz="8" w:color="CCEEFF"/>
              <w:right w:val="single" w:sz="8" w:color="auto"/>
            </w:tcBorders>
            <w:shd w:val="clear" w:color="auto" w:fill="CCEEFF"/>
          </w:tcPr>
          <w:p>
            <w:pPr>
              <w:spacing w:after="0"/>
              <w:rPr>
                <w:sz w:val="22"/>
                <w:szCs w:val="22"/>
                <w:color w:val="auto"/>
              </w:rPr>
            </w:pPr>
          </w:p>
        </w:tc>
        <w:tc>
          <w:tcPr>
            <w:tcW w:w="880" w:type="dxa"/>
            <w:vAlign w:val="bottom"/>
            <w:tcBorders>
              <w:bottom w:val="single" w:sz="8" w:color="CCEEFF"/>
              <w:right w:val="single" w:sz="8" w:color="auto"/>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04"/>
        </w:trPr>
        <w:tc>
          <w:tcPr>
            <w:tcW w:w="900" w:type="dxa"/>
            <w:vAlign w:val="bottom"/>
            <w:tcBorders>
              <w:top w:val="single" w:sz="8" w:color="auto"/>
              <w:left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2420" w:type="dxa"/>
            <w:vAlign w:val="bottom"/>
            <w:tcBorders>
              <w:top w:val="single" w:sz="8" w:color="auto"/>
              <w:bottom w:val="single" w:sz="8" w:color="auto"/>
            </w:tcBorders>
            <w:gridSpan w:val="4"/>
          </w:tcPr>
          <w:p>
            <w:pPr>
              <w:jc w:val="center"/>
              <w:ind w:left="192"/>
              <w:spacing w:after="0" w:line="204" w:lineRule="exact"/>
              <w:rPr>
                <w:sz w:val="20"/>
                <w:szCs w:val="20"/>
                <w:color w:val="auto"/>
              </w:rPr>
            </w:pPr>
            <w:r>
              <w:rPr>
                <w:rFonts w:ascii="Times New Roman" w:cs="Times New Roman" w:eastAsia="Times New Roman" w:hAnsi="Times New Roman"/>
                <w:sz w:val="18"/>
                <w:szCs w:val="18"/>
                <w:b w:val="1"/>
                <w:bCs w:val="1"/>
                <w:color w:val="auto"/>
                <w:w w:val="97"/>
              </w:rPr>
              <w:t>Carry Forward Securities</w:t>
            </w:r>
          </w:p>
        </w:tc>
        <w:tc>
          <w:tcPr>
            <w:tcW w:w="10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right w:val="single" w:sz="8" w:color="auto"/>
            </w:tcBorders>
          </w:tcPr>
          <w:p>
            <w:pPr>
              <w:spacing w:after="0"/>
              <w:rPr>
                <w:sz w:val="17"/>
                <w:szCs w:val="17"/>
                <w:color w:val="auto"/>
              </w:rPr>
            </w:pPr>
          </w:p>
        </w:tc>
      </w:tr>
      <w:tr>
        <w:trPr>
          <w:trHeight w:val="212"/>
        </w:trPr>
        <w:tc>
          <w:tcPr>
            <w:tcW w:w="9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Carry</w:t>
            </w:r>
          </w:p>
        </w:tc>
        <w:tc>
          <w:tcPr>
            <w:tcW w:w="7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r>
      <w:tr>
        <w:trPr>
          <w:trHeight w:val="211"/>
        </w:trPr>
        <w:tc>
          <w:tcPr>
            <w:tcW w:w="9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Forward</w:t>
            </w:r>
          </w:p>
        </w:tc>
        <w:tc>
          <w:tcPr>
            <w:tcW w:w="7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r>
      <w:tr>
        <w:trPr>
          <w:trHeight w:val="261"/>
        </w:trPr>
        <w:tc>
          <w:tcPr>
            <w:tcW w:w="90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Securities</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9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820" w:type="dxa"/>
            <w:vAlign w:val="bottom"/>
            <w:tcBorders>
              <w:bottom w:val="single" w:sz="8" w:color="CCEEFF"/>
              <w:right w:val="single" w:sz="8" w:color="auto"/>
            </w:tcBorders>
            <w:shd w:val="clear" w:color="auto" w:fill="CCEEFF"/>
          </w:tcPr>
          <w:p>
            <w:pPr>
              <w:spacing w:after="0"/>
              <w:rPr>
                <w:sz w:val="22"/>
                <w:szCs w:val="22"/>
                <w:color w:val="auto"/>
              </w:rPr>
            </w:pPr>
          </w:p>
        </w:tc>
        <w:tc>
          <w:tcPr>
            <w:tcW w:w="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20" w:type="dxa"/>
            <w:vAlign w:val="bottom"/>
            <w:tcBorders>
              <w:bottom w:val="single" w:sz="8" w:color="CCEEFF"/>
              <w:right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right w:val="single" w:sz="8" w:color="auto"/>
            </w:tcBorders>
            <w:shd w:val="clear" w:color="auto" w:fill="CCEEFF"/>
          </w:tcPr>
          <w:p>
            <w:pPr>
              <w:spacing w:after="0"/>
              <w:rPr>
                <w:sz w:val="22"/>
                <w:szCs w:val="22"/>
                <w:color w:val="auto"/>
              </w:rPr>
            </w:pPr>
          </w:p>
        </w:tc>
        <w:tc>
          <w:tcPr>
            <w:tcW w:w="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880" w:type="dxa"/>
            <w:vAlign w:val="bottom"/>
            <w:tcBorders>
              <w:bottom w:val="single" w:sz="8" w:color="CCEEFF"/>
              <w:right w:val="single" w:sz="8" w:color="auto"/>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30"/>
        </w:trPr>
        <w:tc>
          <w:tcPr>
            <w:tcW w:w="900" w:type="dxa"/>
            <w:vAlign w:val="bottom"/>
            <w:tcBorders>
              <w:top w:val="single" w:sz="8" w:color="auto"/>
              <w:left w:val="single" w:sz="8" w:color="auto"/>
              <w:right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700" w:type="dxa"/>
            <w:vAlign w:val="bottom"/>
            <w:tcBorders>
              <w:top w:val="single" w:sz="8" w:color="auto"/>
              <w:right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82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20" w:type="dxa"/>
            <w:vAlign w:val="bottom"/>
            <w:tcBorders>
              <w:top w:val="single" w:sz="8" w:color="auto"/>
              <w:right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80" w:type="dxa"/>
            <w:vAlign w:val="bottom"/>
            <w:tcBorders>
              <w:top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6"/>
              </w:rPr>
              <w:t>N/A</w:t>
            </w:r>
          </w:p>
        </w:tc>
        <w:tc>
          <w:tcPr>
            <w:tcW w:w="88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r>
      <w:tr>
        <w:trPr>
          <w:trHeight w:val="27"/>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62"/>
        </w:trPr>
        <w:tc>
          <w:tcPr>
            <w:tcW w:w="90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720" w:type="dxa"/>
            <w:vAlign w:val="bottom"/>
            <w:tcBorders>
              <w:bottom w:val="single" w:sz="8" w:color="CCEEFF"/>
              <w:right w:val="single" w:sz="8" w:color="CCEEFF"/>
            </w:tcBorders>
            <w:shd w:val="clear" w:color="auto" w:fill="CCEEFF"/>
          </w:tcPr>
          <w:p>
            <w:pPr>
              <w:spacing w:after="0"/>
              <w:rPr>
                <w:sz w:val="22"/>
                <w:szCs w:val="22"/>
                <w:color w:val="auto"/>
              </w:rPr>
            </w:pPr>
          </w:p>
        </w:tc>
        <w:tc>
          <w:tcPr>
            <w:tcW w:w="2700" w:type="dxa"/>
            <w:vAlign w:val="bottom"/>
            <w:tcBorders>
              <w:bottom w:val="single" w:sz="8" w:color="CCEEFF"/>
              <w:right w:val="single" w:sz="8" w:color="auto"/>
            </w:tcBorders>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820" w:type="dxa"/>
            <w:vAlign w:val="bottom"/>
            <w:tcBorders>
              <w:bottom w:val="single" w:sz="8" w:color="CCEEFF"/>
              <w:right w:val="single" w:sz="8" w:color="auto"/>
            </w:tcBorders>
            <w:shd w:val="clear" w:color="auto" w:fill="CCEEFF"/>
          </w:tcPr>
          <w:p>
            <w:pPr>
              <w:spacing w:after="0"/>
              <w:rPr>
                <w:sz w:val="22"/>
                <w:szCs w:val="22"/>
                <w:color w:val="auto"/>
              </w:rPr>
            </w:pPr>
          </w:p>
        </w:tc>
        <w:tc>
          <w:tcPr>
            <w:tcW w:w="840" w:type="dxa"/>
            <w:vAlign w:val="bottom"/>
            <w:tcBorders>
              <w:bottom w:val="single" w:sz="8" w:color="CCEEFF"/>
              <w:right w:val="single" w:sz="8" w:color="auto"/>
            </w:tcBorders>
            <w:shd w:val="clear" w:color="auto" w:fill="CCEEFF"/>
          </w:tcPr>
          <w:p>
            <w:pPr>
              <w:spacing w:after="0"/>
              <w:rPr>
                <w:sz w:val="22"/>
                <w:szCs w:val="22"/>
                <w:color w:val="auto"/>
              </w:rPr>
            </w:pPr>
          </w:p>
        </w:tc>
        <w:tc>
          <w:tcPr>
            <w:tcW w:w="720" w:type="dxa"/>
            <w:vAlign w:val="bottom"/>
            <w:tcBorders>
              <w:bottom w:val="single" w:sz="8" w:color="CCEEFF"/>
              <w:right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right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6"/>
              </w:rPr>
              <w:t>N/A</w:t>
            </w:r>
          </w:p>
        </w:tc>
        <w:tc>
          <w:tcPr>
            <w:tcW w:w="880" w:type="dxa"/>
            <w:vAlign w:val="bottom"/>
            <w:tcBorders>
              <w:bottom w:val="single" w:sz="8" w:color="CCEEFF"/>
              <w:right w:val="single" w:sz="8" w:color="auto"/>
            </w:tcBorders>
            <w:shd w:val="clear" w:color="auto" w:fill="CCEEFF"/>
          </w:tcPr>
          <w:p>
            <w:pPr>
              <w:spacing w:after="0"/>
              <w:rPr>
                <w:sz w:val="22"/>
                <w:szCs w:val="22"/>
                <w:color w:val="auto"/>
              </w:rPr>
            </w:pPr>
          </w:p>
        </w:tc>
        <w:tc>
          <w:tcPr>
            <w:tcW w:w="860" w:type="dxa"/>
            <w:vAlign w:val="bottom"/>
            <w:tcBorders>
              <w:bottom w:val="single" w:sz="8" w:color="CCEEFF"/>
              <w:right w:val="single" w:sz="8" w:color="auto"/>
            </w:tcBorders>
            <w:shd w:val="clear" w:color="auto" w:fill="CCEEFF"/>
          </w:tcPr>
          <w:p>
            <w:pPr>
              <w:spacing w:after="0"/>
              <w:rPr>
                <w:sz w:val="22"/>
                <w:szCs w:val="22"/>
                <w:color w:val="auto"/>
              </w:rPr>
            </w:pPr>
          </w:p>
        </w:tc>
        <w:tc>
          <w:tcPr>
            <w:tcW w:w="880" w:type="dxa"/>
            <w:vAlign w:val="bottom"/>
            <w:tcBorders>
              <w:bottom w:val="single" w:sz="8" w:color="CCEEFF"/>
              <w:right w:val="single" w:sz="8" w:color="auto"/>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30"/>
        </w:trPr>
        <w:tc>
          <w:tcPr>
            <w:tcW w:w="900" w:type="dxa"/>
            <w:vAlign w:val="bottom"/>
            <w:tcBorders>
              <w:top w:val="single" w:sz="8" w:color="auto"/>
              <w:left w:val="single" w:sz="8" w:color="auto"/>
              <w:right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760" w:type="dxa"/>
            <w:vAlign w:val="bottom"/>
            <w:tcBorders>
              <w:top w:val="single" w:sz="8" w:color="auto"/>
              <w:right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82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720" w:type="dxa"/>
            <w:vAlign w:val="bottom"/>
            <w:tcBorders>
              <w:top w:val="single" w:sz="8" w:color="auto"/>
              <w:right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80" w:type="dxa"/>
            <w:vAlign w:val="bottom"/>
            <w:tcBorders>
              <w:top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6"/>
              </w:rPr>
              <w:t>N/A</w:t>
            </w:r>
          </w:p>
        </w:tc>
        <w:tc>
          <w:tcPr>
            <w:tcW w:w="88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r>
      <w:tr>
        <w:trPr>
          <w:trHeight w:val="27"/>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37"/>
        </w:trPr>
        <w:tc>
          <w:tcPr>
            <w:tcW w:w="900" w:type="dxa"/>
            <w:vAlign w:val="bottom"/>
            <w:tcBorders>
              <w:left w:val="single" w:sz="8" w:color="auto"/>
              <w:bottom w:val="single" w:sz="8" w:color="CCEEFF"/>
              <w:right w:val="single" w:sz="8" w:color="auto"/>
            </w:tcBorders>
            <w:shd w:val="clear" w:color="auto" w:fill="CCEEFF"/>
          </w:tcPr>
          <w:p>
            <w:pPr>
              <w:spacing w:after="0"/>
              <w:rPr>
                <w:sz w:val="20"/>
                <w:szCs w:val="20"/>
                <w:color w:val="auto"/>
              </w:rPr>
            </w:pPr>
          </w:p>
        </w:tc>
        <w:tc>
          <w:tcPr>
            <w:tcW w:w="720" w:type="dxa"/>
            <w:vAlign w:val="bottom"/>
            <w:tcBorders>
              <w:bottom w:val="single" w:sz="8" w:color="CCEEFF"/>
              <w:right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CCEEFF"/>
            </w:tcBorders>
            <w:shd w:val="clear" w:color="auto" w:fill="CCEEFF"/>
          </w:tcPr>
          <w:p>
            <w:pPr>
              <w:spacing w:after="0"/>
              <w:rPr>
                <w:sz w:val="20"/>
                <w:szCs w:val="20"/>
                <w:color w:val="auto"/>
              </w:rPr>
            </w:pPr>
          </w:p>
        </w:tc>
        <w:tc>
          <w:tcPr>
            <w:tcW w:w="1760" w:type="dxa"/>
            <w:vAlign w:val="bottom"/>
            <w:tcBorders>
              <w:bottom w:val="single" w:sz="8" w:color="CCEEFF"/>
              <w:right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820" w:type="dxa"/>
            <w:vAlign w:val="bottom"/>
            <w:tcBorders>
              <w:bottom w:val="single" w:sz="8" w:color="CCEEFF"/>
              <w:right w:val="single" w:sz="8" w:color="auto"/>
            </w:tcBorders>
            <w:shd w:val="clear" w:color="auto" w:fill="CCEEFF"/>
          </w:tcPr>
          <w:p>
            <w:pPr>
              <w:spacing w:after="0"/>
              <w:rPr>
                <w:sz w:val="20"/>
                <w:szCs w:val="20"/>
                <w:color w:val="auto"/>
              </w:rPr>
            </w:pPr>
          </w:p>
        </w:tc>
        <w:tc>
          <w:tcPr>
            <w:tcW w:w="840" w:type="dxa"/>
            <w:vAlign w:val="bottom"/>
            <w:tcBorders>
              <w:bottom w:val="single" w:sz="8" w:color="CCEEFF"/>
              <w:right w:val="single" w:sz="8" w:color="auto"/>
            </w:tcBorders>
            <w:shd w:val="clear" w:color="auto" w:fill="CCEEFF"/>
          </w:tcPr>
          <w:p>
            <w:pPr>
              <w:spacing w:after="0"/>
              <w:rPr>
                <w:sz w:val="20"/>
                <w:szCs w:val="20"/>
                <w:color w:val="auto"/>
              </w:rPr>
            </w:pPr>
          </w:p>
        </w:tc>
        <w:tc>
          <w:tcPr>
            <w:tcW w:w="720" w:type="dxa"/>
            <w:vAlign w:val="bottom"/>
            <w:tcBorders>
              <w:bottom w:val="single" w:sz="8" w:color="CCEEFF"/>
              <w:right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right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6"/>
              </w:rPr>
              <w:t>N/A</w:t>
            </w:r>
          </w:p>
        </w:tc>
        <w:tc>
          <w:tcPr>
            <w:tcW w:w="880" w:type="dxa"/>
            <w:vAlign w:val="bottom"/>
            <w:tcBorders>
              <w:bottom w:val="single" w:sz="8" w:color="CCEEFF"/>
              <w:right w:val="single" w:sz="8" w:color="auto"/>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shd w:val="clear" w:color="auto" w:fill="CCEEFF"/>
          </w:tcPr>
          <w:p>
            <w:pPr>
              <w:spacing w:after="0"/>
              <w:rPr>
                <w:sz w:val="20"/>
                <w:szCs w:val="20"/>
                <w:color w:val="auto"/>
              </w:rPr>
            </w:pPr>
          </w:p>
        </w:tc>
        <w:tc>
          <w:tcPr>
            <w:tcW w:w="880" w:type="dxa"/>
            <w:vAlign w:val="bottom"/>
            <w:tcBorders>
              <w:bottom w:val="single" w:sz="8" w:color="CCEEFF"/>
              <w:right w:val="single" w:sz="8" w:color="auto"/>
            </w:tcBorders>
            <w:shd w:val="clear" w:color="auto" w:fill="CCEEFF"/>
          </w:tcPr>
          <w:p>
            <w:pPr>
              <w:spacing w:after="0"/>
              <w:rPr>
                <w:sz w:val="20"/>
                <w:szCs w:val="20"/>
                <w:color w:val="auto"/>
              </w:rPr>
            </w:pPr>
          </w:p>
        </w:tc>
        <w:tc>
          <w:tcPr>
            <w:tcW w:w="920" w:type="dxa"/>
            <w:vAlign w:val="bottom"/>
            <w:tcBorders>
              <w:bottom w:val="single" w:sz="8" w:color="CCEEFF"/>
              <w:right w:val="single" w:sz="8" w:color="auto"/>
            </w:tcBorders>
            <w:shd w:val="clear" w:color="auto" w:fill="CCEEFF"/>
          </w:tcPr>
          <w:p>
            <w:pPr>
              <w:spacing w:after="0"/>
              <w:rPr>
                <w:sz w:val="20"/>
                <w:szCs w:val="20"/>
                <w:color w:val="auto"/>
              </w:rPr>
            </w:pPr>
          </w:p>
        </w:tc>
      </w:tr>
      <w:tr>
        <w:trPr>
          <w:trHeight w:val="20"/>
        </w:trPr>
        <w:tc>
          <w:tcPr>
            <w:tcW w:w="9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320" w:right="200" w:hanging="315"/>
        <w:spacing w:after="0" w:line="250" w:lineRule="auto"/>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unspecified number or amount of the securities of each identified class of securities is being registered as may be offered and sold from time to time at indeterminate prices. There is also being registered hereunder an indeterminate amount of each identified class of securities as may be issued upon conversion of, or in exchange for, or upon exercise of, or pursuant to, convertible or exchangeable securities that provide for exercise or conversion into or purchase of such securities of the FTAI Aviation Ltd. (the “Company”). Separate consideration may or may not be received for securities that are issuable on exercise, conversion or exchange of other securities.</w:t>
      </w:r>
    </w:p>
    <w:p>
      <w:pPr>
        <w:spacing w:after="0" w:line="68" w:lineRule="exact"/>
        <w:rPr>
          <w:rFonts w:ascii="Times New Roman" w:cs="Times New Roman" w:eastAsia="Times New Roman" w:hAnsi="Times New Roman"/>
          <w:sz w:val="18"/>
          <w:szCs w:val="18"/>
          <w:color w:val="auto"/>
        </w:rPr>
      </w:pPr>
    </w:p>
    <w:p>
      <w:pPr>
        <w:ind w:left="320" w:right="400" w:hanging="315"/>
        <w:spacing w:after="0" w:line="252" w:lineRule="auto"/>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reliance upon Rules 456(b) and 457(r) under the Securities Act of 1933, as amended (the “Securities Act”), the Company is deferring payment of the registration fees relating to securities that are registered and available for sale under this registration statement. Registration fees will be paid subsequently in advance or on a pay-as-you-go basis in accordance with Rule 456(b). The Company will calculate the registration fee applicable to an offer of securities pursuant to this registration statement based on the fee payment rate in effect on the date of such fee payment.</w:t>
      </w:r>
    </w:p>
    <w:p>
      <w:pPr>
        <w:spacing w:after="0" w:line="66" w:lineRule="exact"/>
        <w:rPr>
          <w:rFonts w:ascii="Times New Roman" w:cs="Times New Roman" w:eastAsia="Times New Roman" w:hAnsi="Times New Roman"/>
          <w:sz w:val="18"/>
          <w:szCs w:val="18"/>
          <w:color w:val="auto"/>
        </w:rPr>
      </w:pPr>
    </w:p>
    <w:p>
      <w:pPr>
        <w:ind w:left="320" w:right="360" w:hanging="315"/>
        <w:spacing w:after="0" w:line="269" w:lineRule="auto"/>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this registration statement shall also cover any additional shares of the Company’s securities that become issuable by reason of any share splits, share dividends or similar transactions.</w:t>
      </w:r>
    </w:p>
    <w:p>
      <w:pPr>
        <w:spacing w:after="0" w:line="49"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depositary share will be issued under a deposit agreement and will be evidenced by a depositary receipt. In the event the Company elects to offer to</w:t>
      </w:r>
    </w:p>
    <w:p>
      <w:pPr>
        <w:sectPr>
          <w:pgSz w:w="11900" w:h="16838" w:orient="portrait"/>
          <w:cols w:equalWidth="0" w:num="1">
            <w:col w:w="11340"/>
          </w:cols>
          <w:pgMar w:left="320" w:top="304" w:right="239" w:bottom="0" w:gutter="0" w:footer="0" w:header="0"/>
        </w:sectPr>
      </w:pPr>
    </w:p>
    <w:bookmarkStart w:id="97" w:name="page98"/>
    <w:bookmarkEnd w:id="97"/>
    <w:p>
      <w:pPr>
        <w:jc w:val="both"/>
        <w:spacing w:after="0" w:line="256" w:lineRule="auto"/>
        <w:rPr>
          <w:sz w:val="20"/>
          <w:szCs w:val="20"/>
          <w:color w:val="auto"/>
        </w:rPr>
      </w:pPr>
      <w:r>
        <w:rPr>
          <w:rFonts w:ascii="Times New Roman" w:cs="Times New Roman" w:eastAsia="Times New Roman" w:hAnsi="Times New Roman"/>
          <w:sz w:val="18"/>
          <w:szCs w:val="18"/>
          <w:color w:val="auto"/>
        </w:rPr>
        <w:t>the public fractional interests in shares of the preferred shares registered hereunder, depositary receipts will be distributed to those persons purchasing such fractional interests, and shares of preferred shares will be issued to the depositary under the deposit agreement. No separate consideration will be received for the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201930</wp:posOffset>
            </wp:positionV>
            <wp:extent cx="7135495"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sectPr>
      <w:pgSz w:w="11900" w:h="16838" w:orient="portrait"/>
      <w:cols w:equalWidth="0" w:num="1">
        <w:col w:w="10540"/>
      </w:cols>
      <w:pgMar w:left="640" w:top="121"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1)"/>
      <w:numFmt w:val="lowerRoman"/>
      <w:start w:val="2"/>
    </w:lvl>
  </w:abstractNum>
  <w:abstractNum w:abstractNumId="7">
    <w:nsid w:val="725A06FB"/>
    <w:multiLevelType w:val="hybridMultilevel"/>
    <w:lvl w:ilvl="0">
      <w:lvlJc w:val="left"/>
      <w:lvlText w:val="(%1)"/>
      <w:numFmt w:val="lowerRoman"/>
      <w:start w:val="4"/>
    </w:lvl>
  </w:abstractNum>
  <w:abstractNum w:abstractNumId="8">
    <w:nsid w:val="2CD89A32"/>
    <w:multiLevelType w:val="hybridMultilevel"/>
    <w:lvl w:ilvl="0">
      <w:lvlJc w:val="left"/>
      <w:lvlText w:val="(%1)"/>
      <w:numFmt w:val="lowerRoman"/>
      <w:start w:val="2"/>
    </w:lvl>
  </w:abstractNum>
  <w:abstractNum w:abstractNumId="9">
    <w:nsid w:val="57E4CCAF"/>
    <w:multiLevelType w:val="hybridMultilevel"/>
    <w:lvl w:ilvl="0">
      <w:lvlJc w:val="left"/>
      <w:lvlText w:val="(%1)"/>
      <w:numFmt w:val="lowerRoman"/>
      <w:start w:val="1"/>
    </w:lvl>
  </w:abstractNum>
  <w:abstractNum w:abstractNumId="10">
    <w:nsid w:val="7A6D8D3C"/>
    <w:multiLevelType w:val="hybridMultilevel"/>
    <w:lvl w:ilvl="0">
      <w:lvlJc w:val="left"/>
      <w:lvlText w:val="(%1)"/>
      <w:numFmt w:val="lowerRoman"/>
      <w:start w:val="2"/>
    </w:lvl>
  </w:abstractNum>
  <w:abstractNum w:abstractNumId="11">
    <w:nsid w:val="4B588F54"/>
    <w:multiLevelType w:val="hybridMultilevel"/>
    <w:lvl w:ilvl="0">
      <w:lvlJc w:val="left"/>
      <w:lvlText w:val="%1)"/>
      <w:numFmt w:val="decimal"/>
      <w:start w:val="1"/>
    </w:lvl>
  </w:abstractNum>
  <w:abstractNum w:abstractNumId="12">
    <w:nsid w:val="542289EC"/>
    <w:multiLevelType w:val="hybridMultilevel"/>
    <w:lvl w:ilvl="0">
      <w:lvlJc w:val="left"/>
      <w:lvlText w:val="%1)"/>
      <w:numFmt w:val="decimal"/>
      <w:start w:val="3"/>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1)"/>
      <w:numFmt w:val="lowerRoman"/>
      <w:start w:val="2"/>
    </w:lvl>
  </w:abstractNum>
  <w:abstractNum w:abstractNumId="15">
    <w:nsid w:val="7644A45C"/>
    <w:multiLevelType w:val="hybridMultilevel"/>
    <w:lvl w:ilvl="0">
      <w:lvlJc w:val="left"/>
      <w:lvlText w:val="(%1)"/>
      <w:numFmt w:val="lowerRoman"/>
      <w:start w:val="4"/>
    </w:lvl>
  </w:abstractNum>
  <w:abstractNum w:abstractNumId="16">
    <w:nsid w:val="32FFF902"/>
    <w:multiLevelType w:val="hybridMultilevel"/>
    <w:lvl w:ilvl="0">
      <w:lvlJc w:val="left"/>
      <w:lvlText w:val="(%1)"/>
      <w:numFmt w:val="lowerRoman"/>
      <w:start w:val="1"/>
    </w:lvl>
  </w:abstractNum>
  <w:abstractNum w:abstractNumId="17">
    <w:nsid w:val="684A481A"/>
    <w:multiLevelType w:val="hybridMultilevel"/>
    <w:lvl w:ilvl="0">
      <w:lvlJc w:val="left"/>
      <w:lvlText w:val="%1)"/>
      <w:numFmt w:val="decimal"/>
      <w:start w:val="1"/>
    </w:lvl>
  </w:abstractNum>
  <w:abstractNum w:abstractNumId="18">
    <w:nsid w:val="579478FE"/>
    <w:multiLevelType w:val="hybridMultilevel"/>
    <w:lvl w:ilvl="0">
      <w:lvlJc w:val="left"/>
      <w:lvlText w:val="(%1)"/>
      <w:numFmt w:val="decimal"/>
      <w:start w:val="2"/>
    </w:lvl>
  </w:abstractNum>
  <w:abstractNum w:abstractNumId="19">
    <w:nsid w:val="749ABB43"/>
    <w:multiLevelType w:val="hybridMultilevel"/>
    <w:lvl w:ilvl="0">
      <w:lvlJc w:val="left"/>
      <w:lvlText w:val="%1)"/>
      <w:numFmt w:val="decimal"/>
      <w:start w:val="1"/>
    </w:lvl>
  </w:abstractNum>
  <w:abstractNum w:abstractNumId="20">
    <w:nsid w:val="3DC240FB"/>
    <w:multiLevelType w:val="hybridMultilevel"/>
    <w:lvl w:ilvl="0">
      <w:lvlJc w:val="left"/>
      <w:lvlText w:val="%1)"/>
      <w:numFmt w:val="decimal"/>
      <w:start w:val="2"/>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1)"/>
      <w:numFmt w:val="decimal"/>
      <w:start w:val="4"/>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lvl w:ilvl="1">
      <w:lvlJc w:val="left"/>
      <w:lvlText w:val="(%2)"/>
      <w:numFmt w:val="lowerRoman"/>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2">
    <w:nsid w:val="3F6AB60F"/>
    <w:multiLevelType w:val="hybridMultilevel"/>
    <w:lvl w:ilvl="0">
      <w:lvlJc w:val="left"/>
      <w:lvlText w:val="%1)"/>
      <w:numFmt w:val="decimal"/>
      <w:start w:val="2"/>
    </w:lvl>
    <w:lvl w:ilvl="1">
      <w:lvlJc w:val="left"/>
      <w:lvlText w:val="(%2)"/>
      <w:numFmt w:val="lowerRoman"/>
      <w:start w:val="1"/>
    </w:lvl>
  </w:abstractNum>
  <w:abstractNum w:abstractNumId="43">
    <w:nsid w:val="61574095"/>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44">
    <w:nsid w:val="7E0C57B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5">
    <w:nsid w:val="77AE35EB"/>
    <w:multiLevelType w:val="hybridMultilevel"/>
    <w:lvl w:ilvl="0">
      <w:lvlJc w:val="left"/>
      <w:lvlText w:val="%1"/>
      <w:numFmt w:val="decimal"/>
      <w:start w:val="107"/>
    </w:lvl>
  </w:abstractNum>
  <w:abstractNum w:abstractNumId="46">
    <w:nsid w:val="579BE4F1"/>
    <w:multiLevelType w:val="hybridMultilevel"/>
    <w:lvl w:ilvl="0">
      <w:lvlJc w:val="left"/>
      <w:lvlText w:val="%1)"/>
      <w:numFmt w:val="lowerLetter"/>
      <w:start w:val="1"/>
    </w:lvl>
  </w:abstractNum>
  <w:abstractNum w:abstractNumId="47">
    <w:nsid w:val="310C50B3"/>
    <w:multiLevelType w:val="hybridMultilevel"/>
    <w:lvl w:ilvl="0">
      <w:lvlJc w:val="left"/>
      <w:lvlText w:val="%1)"/>
      <w:numFmt w:val="lowerLetter"/>
      <w:start w:val="7"/>
    </w:lvl>
  </w:abstractNum>
  <w:abstractNum w:abstractNumId="48">
    <w:nsid w:val="5FF87E05"/>
    <w:multiLevelType w:val="hybridMultilevel"/>
    <w:lvl w:ilvl="0">
      <w:lvlJc w:val="left"/>
      <w:lvlText w:val="1"/>
      <w:numFmt w:val="bullet"/>
      <w:start w:val="1"/>
    </w:lvl>
  </w:abstractNum>
  <w:abstractNum w:abstractNumId="49">
    <w:nsid w:val="2F305DEF"/>
    <w:multiLevelType w:val="hybridMultilevel"/>
    <w:lvl w:ilvl="0">
      <w:lvlJc w:val="left"/>
      <w:lvlText w:val="(%1)"/>
      <w:numFmt w:val="lowerLetter"/>
      <w:start w:val="1"/>
    </w:lvl>
  </w:abstractNum>
  <w:abstractNum w:abstractNumId="50">
    <w:nsid w:val="25A70BF7"/>
    <w:multiLevelType w:val="hybridMultilevel"/>
    <w:lvl w:ilvl="0">
      <w:lvlJc w:val="left"/>
      <w:lvlText w:val="2"/>
      <w:numFmt w:val="bullet"/>
      <w:start w:val="1"/>
    </w:lvl>
  </w:abstractNum>
  <w:abstractNum w:abstractNumId="51">
    <w:nsid w:val="1DBABF00"/>
    <w:multiLevelType w:val="hybridMultilevel"/>
    <w:lvl w:ilvl="0">
      <w:lvlJc w:val="left"/>
      <w:lvlText w:val="3"/>
      <w:numFmt w:val="bullet"/>
      <w:start w:val="1"/>
    </w:lvl>
  </w:abstractNum>
  <w:abstractNum w:abstractNumId="52">
    <w:nsid w:val="4AD084E9"/>
    <w:multiLevelType w:val="hybridMultilevel"/>
    <w:lvl w:ilvl="0">
      <w:lvlJc w:val="left"/>
      <w:lvlText w:val="(%1)"/>
      <w:numFmt w:val="lowerLetter"/>
      <w:start w:val="3"/>
    </w:lvl>
  </w:abstractNum>
  <w:abstractNum w:abstractNumId="53">
    <w:nsid w:val="1F48EAA1"/>
    <w:multiLevelType w:val="hybridMultilevel"/>
    <w:lvl w:ilvl="0">
      <w:lvlJc w:val="left"/>
      <w:lvlText w:val="4"/>
      <w:numFmt w:val="bullet"/>
      <w:start w:val="1"/>
    </w:lvl>
  </w:abstractNum>
  <w:abstractNum w:abstractNumId="54">
    <w:nsid w:val="1381823A"/>
    <w:multiLevelType w:val="hybridMultilevel"/>
    <w:lvl w:ilvl="0">
      <w:lvlJc w:val="left"/>
      <w:lvlText w:val="(%1)"/>
      <w:numFmt w:val="lowerLetter"/>
      <w:start w:val="1"/>
    </w:lvl>
  </w:abstractNum>
  <w:abstractNum w:abstractNumId="55">
    <w:nsid w:val="5DB70AE5"/>
    <w:multiLevelType w:val="hybridMultilevel"/>
    <w:lvl w:ilvl="0">
      <w:lvlJc w:val="left"/>
      <w:lvlText w:val="(%1)"/>
      <w:numFmt w:val="lowerLetter"/>
      <w:start w:val="7"/>
    </w:lvl>
  </w:abstractNum>
  <w:abstractNum w:abstractNumId="56">
    <w:nsid w:val="100F8FCA"/>
    <w:multiLevelType w:val="hybridMultilevel"/>
    <w:lvl w:ilvl="0">
      <w:lvlJc w:val="left"/>
      <w:lvlText w:val="1"/>
      <w:numFmt w:val="bullet"/>
      <w:start w:val="1"/>
    </w:lvl>
  </w:abstractNum>
  <w:abstractNum w:abstractNumId="57">
    <w:nsid w:val="6590700B"/>
    <w:multiLevelType w:val="hybridMultilevel"/>
    <w:lvl w:ilvl="0">
      <w:lvlJc w:val="left"/>
      <w:lvlText w:val="2"/>
      <w:numFmt w:val="bullet"/>
      <w:start w:val="1"/>
    </w:lvl>
  </w:abstractNum>
  <w:abstractNum w:abstractNumId="58">
    <w:nsid w:val="15014ACB"/>
    <w:multiLevelType w:val="hybridMultilevel"/>
    <w:lvl w:ilvl="0">
      <w:lvlJc w:val="left"/>
      <w:lvlText w:val="3"/>
      <w:numFmt w:val="bullet"/>
      <w:start w:val="1"/>
    </w:lvl>
  </w:abstractNum>
  <w:abstractNum w:abstractNumId="59">
    <w:nsid w:val="5F5E7FD0"/>
    <w:multiLevelType w:val="hybridMultilevel"/>
    <w:lvl w:ilvl="0">
      <w:lvlJc w:val="left"/>
      <w:lvlText w:val="4"/>
      <w:numFmt w:val="bullet"/>
      <w:start w:val="1"/>
    </w:lvl>
  </w:abstractNum>
  <w:abstractNum w:abstractNumId="60">
    <w:nsid w:val="98A3148"/>
    <w:multiLevelType w:val="hybridMultilevel"/>
    <w:lvl w:ilvl="0">
      <w:lvlJc w:val="left"/>
      <w:lvlText w:val="5"/>
      <w:numFmt w:val="bullet"/>
      <w:start w:val="1"/>
    </w:lvl>
  </w:abstractNum>
  <w:abstractNum w:abstractNumId="61">
    <w:nsid w:val="799D0247"/>
    <w:multiLevelType w:val="hybridMultilevel"/>
    <w:lvl w:ilvl="0">
      <w:lvlJc w:val="left"/>
      <w:lvlText w:val="6"/>
      <w:numFmt w:val="bullet"/>
      <w:start w:val="1"/>
    </w:lvl>
  </w:abstractNum>
  <w:abstractNum w:abstractNumId="62">
    <w:nsid w:val="6B94764"/>
    <w:multiLevelType w:val="hybridMultilevel"/>
    <w:lvl w:ilvl="0">
      <w:lvlJc w:val="left"/>
      <w:lvlText w:val="7"/>
      <w:numFmt w:val="bullet"/>
      <w:start w:val="1"/>
    </w:lvl>
  </w:abstractNum>
  <w:abstractNum w:abstractNumId="63">
    <w:nsid w:val="42C296BD"/>
    <w:multiLevelType w:val="hybridMultilevel"/>
    <w:lvl w:ilvl="0">
      <w:lvlJc w:val="left"/>
      <w:lvlText w:val="8"/>
      <w:numFmt w:val="bullet"/>
      <w:start w:val="1"/>
    </w:lvl>
  </w:abstractNum>
  <w:abstractNum w:abstractNumId="64">
    <w:nsid w:val="168E121F"/>
    <w:multiLevelType w:val="hybridMultilevel"/>
    <w:lvl w:ilvl="0">
      <w:lvlJc w:val="left"/>
      <w:lvlText w:val="9"/>
      <w:numFmt w:val="bullet"/>
      <w:start w:val="1"/>
    </w:lvl>
  </w:abstractNum>
  <w:abstractNum w:abstractNumId="65">
    <w:nsid w:val="1EBA5D23"/>
    <w:multiLevelType w:val="hybridMultilevel"/>
    <w:lvl w:ilvl="0">
      <w:lvlJc w:val="left"/>
      <w:lvlText w:val="%1"/>
      <w:numFmt w:val="decimal"/>
      <w:start w:val="10"/>
    </w:lvl>
  </w:abstractNum>
  <w:abstractNum w:abstractNumId="66">
    <w:nsid w:val="661E3F1E"/>
    <w:multiLevelType w:val="hybridMultilevel"/>
    <w:lvl w:ilvl="0">
      <w:lvlJc w:val="left"/>
      <w:lvlText w:val="(%1)"/>
      <w:numFmt w:val="lowerLetter"/>
      <w:start w:val="1"/>
    </w:lvl>
  </w:abstractNum>
  <w:abstractNum w:abstractNumId="67">
    <w:nsid w:val="5DC79EA8"/>
    <w:multiLevelType w:val="hybridMultilevel"/>
    <w:lvl w:ilvl="0">
      <w:lvlJc w:val="left"/>
      <w:lvlText w:val="%1."/>
      <w:numFmt w:val="decimal"/>
      <w:start w:val="1"/>
    </w:lvl>
  </w:abstractNum>
  <w:abstractNum w:abstractNumId="68">
    <w:nsid w:val="540A471C"/>
    <w:multiLevelType w:val="hybridMultilevel"/>
    <w:lvl w:ilvl="0">
      <w:lvlJc w:val="left"/>
      <w:lvlText w:val="%1."/>
      <w:numFmt w:val="decimal"/>
      <w:start w:val="5"/>
    </w:lvl>
  </w:abstractNum>
  <w:abstractNum w:abstractNumId="69">
    <w:nsid w:val="7BD3EE7B"/>
    <w:multiLevelType w:val="hybridMultilevel"/>
    <w:lvl w:ilvl="0">
      <w:lvlJc w:val="left"/>
      <w:lvlText w:val="(%1)"/>
      <w:numFmt w:val="lowerLetter"/>
      <w:start w:val="1"/>
    </w:lvl>
  </w:abstractNum>
  <w:abstractNum w:abstractNumId="70">
    <w:nsid w:val="51D9C564"/>
    <w:multiLevelType w:val="hybridMultilevel"/>
    <w:lvl w:ilvl="0">
      <w:lvlJc w:val="left"/>
      <w:lvlText w:val="(%1)"/>
      <w:numFmt w:val="lowerLetter"/>
      <w:start w:val="4"/>
    </w:lvl>
  </w:abstractNum>
  <w:abstractNum w:abstractNumId="71">
    <w:nsid w:val="613EFDC5"/>
    <w:multiLevelType w:val="hybridMultilevel"/>
    <w:lvl w:ilvl="0">
      <w:lvlJc w:val="left"/>
      <w:lvlText w:val="(%1)"/>
      <w:numFmt w:val="lowerLetter"/>
      <w:start w:val="11"/>
    </w:lvl>
  </w:abstractNum>
  <w:abstractNum w:abstractNumId="72">
    <w:nsid w:val="BF72B14"/>
    <w:multiLevelType w:val="hybridMultilevel"/>
    <w:lvl w:ilvl="0">
      <w:lvlJc w:val="left"/>
      <w:lvlText w:val="(%1)"/>
      <w:numFmt w:val="lowerLetter"/>
      <w:start w:val="1"/>
    </w:lvl>
  </w:abstractNum>
  <w:abstractNum w:abstractNumId="73">
    <w:nsid w:val="11447B73"/>
    <w:multiLevelType w:val="hybridMultilevel"/>
    <w:lvl w:ilvl="0">
      <w:lvlJc w:val="left"/>
      <w:lvlText w:val="(%1)"/>
      <w:numFmt w:val="lowerLetter"/>
      <w:start w:val="3"/>
    </w:lvl>
  </w:abstractNum>
  <w:abstractNum w:abstractNumId="74">
    <w:nsid w:val="42963E5A"/>
    <w:multiLevelType w:val="hybridMultilevel"/>
    <w:lvl w:ilvl="0">
      <w:lvlJc w:val="left"/>
      <w:lvlText w:val="%1)"/>
      <w:numFmt w:val="lowerLetter"/>
      <w:start w:val="1"/>
    </w:lvl>
  </w:abstractNum>
  <w:abstractNum w:abstractNumId="75">
    <w:nsid w:val="A0382C5"/>
    <w:multiLevelType w:val="hybridMultilevel"/>
    <w:lvl w:ilvl="0">
      <w:lvlJc w:val="left"/>
      <w:lvlText w:val="%1."/>
      <w:numFmt w:val="decimal"/>
      <w:start w:val="1"/>
    </w:lvl>
  </w:abstractNum>
  <w:abstractNum w:abstractNumId="76">
    <w:nsid w:val="8F2B15E"/>
    <w:multiLevelType w:val="hybridMultilevel"/>
    <w:lvl w:ilvl="0">
      <w:lvlJc w:val="left"/>
      <w:lvlText w:val="(%1)"/>
      <w:numFmt w:val="decimal"/>
      <w:start w:val="1"/>
    </w:lvl>
    <w:lvl w:ilvl="1">
      <w:lvlJc w:val="left"/>
      <w:lvlText w:val="-"/>
      <w:numFmt w:val="bullet"/>
      <w:start w:val="1"/>
    </w:lvl>
  </w:abstractNum>
  <w:abstractNum w:abstractNumId="77">
    <w:nsid w:val="1A32234B"/>
    <w:multiLevelType w:val="hybridMultilevel"/>
    <w:lvl w:ilvl="0">
      <w:lvlJc w:val="left"/>
      <w:lvlText w:val="(%1)"/>
      <w:numFmt w:val="decimal"/>
      <w:start w:val="8"/>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80" Type="http://schemas.openxmlformats.org/officeDocument/2006/relationships/image" Target="media/image66.png"/><Relationship Id="rId82"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jpeg"/><Relationship Id="rId98" Type="http://schemas.openxmlformats.org/officeDocument/2006/relationships/image" Target="media/image81.png"/><Relationship Id="rId99" Type="http://schemas.openxmlformats.org/officeDocument/2006/relationships/image" Target="media/image82.jpe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jpeg"/><Relationship Id="rId125" Type="http://schemas.openxmlformats.org/officeDocument/2006/relationships/image" Target="media/image108.jpe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jpe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25" Type="http://schemas.openxmlformats.org/officeDocument/2006/relationships/hyperlink" Target="https://www.sec.gov/ix?doc=/Archives/edgar/data/1590364/000162828026012940/ftai-20251231.htm" TargetMode="External"/><Relationship Id="rId26" Type="http://schemas.openxmlformats.org/officeDocument/2006/relationships/hyperlink" Target="https://www.sec.gov/ix?doc=/Archives/edgar/data/1590364/000162828026029335/ftai-20260331.htm" TargetMode="External"/><Relationship Id="rId27" Type="http://schemas.openxmlformats.org/officeDocument/2006/relationships/hyperlink" Target="https://www.sec.gov/ix?doc=/Archives/edgar/data/1590364/000114036126017931/ef20071938_8k.htm" TargetMode="External"/><Relationship Id="rId28" Type="http://schemas.openxmlformats.org/officeDocument/2006/relationships/hyperlink" Target="https://www.sec.gov/ix?doc=/Archives/edgar/data/1590364/000114036126014789/ny20066354x1_def14a.htm" TargetMode="External"/><Relationship Id="rId29" Type="http://schemas.openxmlformats.org/officeDocument/2006/relationships/hyperlink" Target="https://www.sec.gov/Archives/edgar/data/1590364/000159036425000006/ftaiaviation12312024ex413.htm" TargetMode="External"/><Relationship Id="rId78" Type="http://schemas.openxmlformats.org/officeDocument/2006/relationships/hyperlink" Target="https://www.sec.gov/Archives/edgar/data/1590364/000114036122041421/brhc10044020_ex3-1.htm" TargetMode="External"/><Relationship Id="rId79" Type="http://schemas.openxmlformats.org/officeDocument/2006/relationships/hyperlink" Target="https://www.sec.gov/ix?doc=/Archives/edgar/data/1590364/000114036122041421/brhc10044020_8k12b.htm" TargetMode="External"/><Relationship Id="rId81" Type="http://schemas.openxmlformats.org/officeDocument/2006/relationships/hyperlink" Target="https://www.sec.gov/Archives/edgar/data/1590364/000114036123011743/brhc10049807_ex4-1.htm" TargetMode="External"/><Relationship Id="rId83" Type="http://schemas.openxmlformats.org/officeDocument/2006/relationships/hyperlink" Target="https://www.sec.gov/Archives/edgar/data/1590364/000114036123011743/brhc10049807_ex4-2.htm" TargetMode="External"/><Relationship Id="rId84" Type="http://schemas.openxmlformats.org/officeDocument/2006/relationships/hyperlink" Target="https://www.sec.gov/Archives/edgar/data/1590364/000114036123008872/ny20007785x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2026-05-01T15:48:00Z</dcterms:created>
  <dcterms:modified xsi:type="dcterms:W3CDTF">2026-05-01T15:48:00Z</dcterms:modified>
</cp:coreProperties>
</file>